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6BA0" w14:textId="08D2A4B7" w:rsidR="00A230D1" w:rsidRPr="00A01937" w:rsidRDefault="00D41227" w:rsidP="00A01937">
      <w:pPr>
        <w:jc w:val="both"/>
        <w:rPr>
          <w:rFonts w:ascii="FrankRuehl" w:hAnsi="FrankRuehl" w:cs="FrankRuehl"/>
          <w:b/>
          <w:bCs/>
          <w:rtl/>
        </w:rPr>
      </w:pPr>
      <w:r w:rsidRPr="00A01937">
        <w:rPr>
          <w:rFonts w:ascii="FrankRuehl" w:hAnsi="FrankRuehl" w:cs="FrankRuehl"/>
          <w:b/>
          <w:bCs/>
          <w:rtl/>
        </w:rPr>
        <w:t>פרשת אמור</w:t>
      </w:r>
    </w:p>
    <w:p w14:paraId="33822F23" w14:textId="03FC3512" w:rsidR="00D41227" w:rsidRPr="00A01937" w:rsidRDefault="00D41227" w:rsidP="00B649BF">
      <w:pPr>
        <w:jc w:val="both"/>
        <w:rPr>
          <w:rFonts w:ascii="FrankRuehl" w:hAnsi="FrankRuehl" w:cs="FrankRuehl"/>
          <w:b/>
          <w:bCs/>
          <w:rtl/>
        </w:rPr>
      </w:pPr>
      <w:r w:rsidRPr="00A01937">
        <w:rPr>
          <w:rFonts w:ascii="FrankRuehl" w:hAnsi="FrankRuehl" w:cs="FrankRuehl"/>
          <w:b/>
          <w:bCs/>
          <w:rtl/>
        </w:rPr>
        <w:t>כבוד הדדי</w:t>
      </w:r>
      <w:r w:rsidR="00A01937">
        <w:rPr>
          <w:rFonts w:ascii="FrankRuehl" w:hAnsi="FrankRuehl" w:cs="FrankRuehl" w:hint="cs"/>
          <w:b/>
          <w:bCs/>
          <w:rtl/>
        </w:rPr>
        <w:t xml:space="preserve"> מרומ</w:t>
      </w:r>
      <w:r w:rsidR="00B649BF">
        <w:rPr>
          <w:rFonts w:ascii="FrankRuehl" w:hAnsi="FrankRuehl" w:cs="FrankRuehl" w:hint="cs"/>
          <w:b/>
          <w:bCs/>
          <w:rtl/>
        </w:rPr>
        <w:t>ם</w:t>
      </w:r>
      <w:bookmarkStart w:id="0" w:name="_GoBack"/>
      <w:bookmarkEnd w:id="0"/>
      <w:r w:rsidR="00A01937">
        <w:rPr>
          <w:rFonts w:ascii="FrankRuehl" w:hAnsi="FrankRuehl" w:cs="FrankRuehl" w:hint="cs"/>
          <w:b/>
          <w:bCs/>
          <w:rtl/>
        </w:rPr>
        <w:t xml:space="preserve"> את האדם </w:t>
      </w:r>
    </w:p>
    <w:p w14:paraId="3A094D59" w14:textId="7BFD1861" w:rsidR="00D41227" w:rsidRPr="00A01937" w:rsidRDefault="00D41227" w:rsidP="00A01937">
      <w:pPr>
        <w:jc w:val="both"/>
        <w:rPr>
          <w:rFonts w:ascii="FrankRuehl" w:hAnsi="FrankRuehl" w:cs="FrankRuehl"/>
          <w:sz w:val="20"/>
          <w:szCs w:val="20"/>
          <w:rtl/>
        </w:rPr>
      </w:pPr>
      <w:r w:rsidRPr="00A01937">
        <w:rPr>
          <w:rFonts w:ascii="FrankRuehl" w:hAnsi="FrankRuehl" w:cs="FrankRuehl"/>
          <w:rtl/>
        </w:rPr>
        <w:t xml:space="preserve">בפרשתנו נאמר: וּסְפַרְתֶּם "לָכֶם" מִמָּחֳרַת הַשַּׁבָּת מִיּוֹם הֲבִיאֲכֶם אֶת עֹמֶר הַתְּנוּפָה שֶׁבַע שַׁבָּתוֹת </w:t>
      </w:r>
      <w:r w:rsidRPr="00A01937">
        <w:rPr>
          <w:rFonts w:ascii="FrankRuehl" w:hAnsi="FrankRuehl" w:cs="FrankRuehl"/>
          <w:sz w:val="20"/>
          <w:szCs w:val="20"/>
          <w:rtl/>
        </w:rPr>
        <w:t xml:space="preserve">(פרק </w:t>
      </w:r>
      <w:proofErr w:type="spellStart"/>
      <w:r w:rsidRPr="00A01937">
        <w:rPr>
          <w:rFonts w:ascii="FrankRuehl" w:hAnsi="FrankRuehl" w:cs="FrankRuehl"/>
          <w:sz w:val="20"/>
          <w:szCs w:val="20"/>
          <w:rtl/>
        </w:rPr>
        <w:t>כג</w:t>
      </w:r>
      <w:proofErr w:type="spellEnd"/>
      <w:r w:rsidRPr="00A01937">
        <w:rPr>
          <w:rFonts w:ascii="FrankRuehl" w:hAnsi="FrankRuehl" w:cs="FrankRuehl"/>
          <w:sz w:val="20"/>
          <w:szCs w:val="20"/>
          <w:rtl/>
        </w:rPr>
        <w:t xml:space="preserve"> פסוק טו)</w:t>
      </w:r>
    </w:p>
    <w:p w14:paraId="33DC7057" w14:textId="25D06A37" w:rsidR="00D41227" w:rsidRPr="00A01937" w:rsidRDefault="00D41227" w:rsidP="00A01937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 xml:space="preserve">שואל החתם סופר לכאורה מספיק לכתוב:‏ "וספרתם ממחרת השבת",‏ מדוע הוסיפה התורה את המלה לכם?‏ ‏(וספרתם לכם)?‏ </w:t>
      </w:r>
    </w:p>
    <w:p w14:paraId="473C5599" w14:textId="5958CB5C" w:rsidR="00B87BF1" w:rsidRPr="00A01937" w:rsidRDefault="00D41227" w:rsidP="00B649BF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>ההסבר לכך שהתורה משתמשת לפעמים בתיבת "לכם" כוונתה להצביע על איכות כמו</w:t>
      </w:r>
      <w:r w:rsidR="00B87BF1" w:rsidRPr="00A01937">
        <w:rPr>
          <w:rFonts w:ascii="FrankRuehl" w:hAnsi="FrankRuehl" w:cs="FrankRuehl"/>
          <w:rtl/>
        </w:rPr>
        <w:t xml:space="preserve"> שנאמר באברהם אבינו</w:t>
      </w:r>
      <w:r w:rsidRPr="00A01937">
        <w:rPr>
          <w:rFonts w:ascii="FrankRuehl" w:hAnsi="FrankRuehl" w:cs="FrankRuehl"/>
          <w:rtl/>
        </w:rPr>
        <w:t xml:space="preserve">:‏ ״לך </w:t>
      </w:r>
      <w:proofErr w:type="spellStart"/>
      <w:r w:rsidRPr="00A01937">
        <w:rPr>
          <w:rFonts w:ascii="FrankRuehl" w:hAnsi="FrankRuehl" w:cs="FrankRuehl"/>
          <w:rtl/>
        </w:rPr>
        <w:t>לך</w:t>
      </w:r>
      <w:proofErr w:type="spellEnd"/>
      <w:r w:rsidRPr="00A01937">
        <w:rPr>
          <w:rFonts w:ascii="FrankRuehl" w:hAnsi="FrankRuehl" w:cs="FrankRuehl"/>
          <w:rtl/>
        </w:rPr>
        <w:t xml:space="preserve"> מארצך"׳ מסביר רש״י ״ל</w:t>
      </w:r>
      <w:r w:rsidR="00B87BF1" w:rsidRPr="00A01937">
        <w:rPr>
          <w:rFonts w:ascii="FrankRuehl" w:hAnsi="FrankRuehl" w:cs="FrankRuehl"/>
          <w:rtl/>
        </w:rPr>
        <w:t>ה</w:t>
      </w:r>
      <w:r w:rsidRPr="00A01937">
        <w:rPr>
          <w:rFonts w:ascii="FrankRuehl" w:hAnsi="FrankRuehl" w:cs="FrankRuehl"/>
          <w:rtl/>
        </w:rPr>
        <w:t>נאתך ו</w:t>
      </w:r>
      <w:r w:rsidR="00B87BF1" w:rsidRPr="00A01937">
        <w:rPr>
          <w:rFonts w:ascii="FrankRuehl" w:hAnsi="FrankRuehl" w:cs="FrankRuehl"/>
          <w:rtl/>
        </w:rPr>
        <w:t>ל</w:t>
      </w:r>
      <w:r w:rsidRPr="00A01937">
        <w:rPr>
          <w:rFonts w:ascii="FrankRuehl" w:hAnsi="FrankRuehl" w:cs="FrankRuehl"/>
          <w:rtl/>
        </w:rPr>
        <w:t>טובתך״</w:t>
      </w:r>
      <w:r w:rsidR="00B87BF1" w:rsidRPr="00A01937">
        <w:rPr>
          <w:rFonts w:ascii="FrankRuehl" w:hAnsi="FrankRuehl" w:cs="FrankRuehl"/>
          <w:rtl/>
        </w:rPr>
        <w:t xml:space="preserve"> ששם בארץ ישראל אעשה אותך לגוי גדול</w:t>
      </w:r>
      <w:r w:rsidR="00B649BF">
        <w:rPr>
          <w:rFonts w:ascii="FrankRuehl" w:hAnsi="FrankRuehl" w:cs="FrankRuehl" w:hint="cs"/>
          <w:rtl/>
        </w:rPr>
        <w:t>. כך גם</w:t>
      </w:r>
      <w:r w:rsidR="00B87BF1" w:rsidRPr="00A01937">
        <w:rPr>
          <w:rFonts w:ascii="FrankRuehl" w:hAnsi="FrankRuehl" w:cs="FrankRuehl"/>
          <w:rtl/>
        </w:rPr>
        <w:t xml:space="preserve"> בפרשת המרגלים</w:t>
      </w:r>
      <w:r w:rsidR="00B649BF">
        <w:rPr>
          <w:rFonts w:ascii="FrankRuehl" w:hAnsi="FrankRuehl" w:cs="FrankRuehl" w:hint="cs"/>
          <w:rtl/>
        </w:rPr>
        <w:t>,</w:t>
      </w:r>
      <w:r w:rsidR="00B87BF1" w:rsidRPr="00A01937">
        <w:rPr>
          <w:rFonts w:ascii="FrankRuehl" w:hAnsi="FrankRuehl" w:cs="FrankRuehl"/>
          <w:rtl/>
        </w:rPr>
        <w:t xml:space="preserve"> הקב"ה אומר למשה רבנו</w:t>
      </w:r>
      <w:r w:rsidRPr="00A01937">
        <w:rPr>
          <w:rFonts w:ascii="FrankRuehl" w:hAnsi="FrankRuehl" w:cs="FrankRuehl"/>
          <w:rtl/>
        </w:rPr>
        <w:t xml:space="preserve"> ״שלח לך אנשים״</w:t>
      </w:r>
      <w:r w:rsidR="00B649BF">
        <w:rPr>
          <w:rFonts w:ascii="FrankRuehl" w:hAnsi="FrankRuehl" w:cs="FrankRuehl" w:hint="cs"/>
          <w:rtl/>
        </w:rPr>
        <w:t xml:space="preserve">. המילה "לך" </w:t>
      </w:r>
      <w:r w:rsidRPr="00A01937">
        <w:rPr>
          <w:rFonts w:ascii="FrankRuehl" w:hAnsi="FrankRuehl" w:cs="FrankRuehl"/>
          <w:rtl/>
        </w:rPr>
        <w:t xml:space="preserve">מתבארת </w:t>
      </w:r>
      <w:r w:rsidR="00B649BF">
        <w:rPr>
          <w:rFonts w:ascii="FrankRuehl" w:hAnsi="FrankRuehl" w:cs="FrankRuehl" w:hint="cs"/>
          <w:rtl/>
        </w:rPr>
        <w:t>"</w:t>
      </w:r>
      <w:r w:rsidRPr="00A01937">
        <w:rPr>
          <w:rFonts w:ascii="FrankRuehl" w:hAnsi="FrankRuehl" w:cs="FrankRuehl"/>
          <w:rtl/>
        </w:rPr>
        <w:t>ל</w:t>
      </w:r>
      <w:r w:rsidR="00B87BF1" w:rsidRPr="00A01937">
        <w:rPr>
          <w:rFonts w:ascii="FrankRuehl" w:hAnsi="FrankRuehl" w:cs="FrankRuehl"/>
          <w:rtl/>
        </w:rPr>
        <w:t>ה</w:t>
      </w:r>
      <w:r w:rsidRPr="00A01937">
        <w:rPr>
          <w:rFonts w:ascii="FrankRuehl" w:hAnsi="FrankRuehl" w:cs="FrankRuehl"/>
          <w:rtl/>
        </w:rPr>
        <w:t>נאתך ו</w:t>
      </w:r>
      <w:r w:rsidR="00B87BF1" w:rsidRPr="00A01937">
        <w:rPr>
          <w:rFonts w:ascii="FrankRuehl" w:hAnsi="FrankRuehl" w:cs="FrankRuehl"/>
          <w:rtl/>
        </w:rPr>
        <w:t>ל</w:t>
      </w:r>
      <w:r w:rsidRPr="00A01937">
        <w:rPr>
          <w:rFonts w:ascii="FrankRuehl" w:hAnsi="FrankRuehl" w:cs="FrankRuehl"/>
          <w:rtl/>
        </w:rPr>
        <w:t>טובתך</w:t>
      </w:r>
      <w:r w:rsidR="00B87BF1" w:rsidRPr="00A01937">
        <w:rPr>
          <w:rFonts w:ascii="FrankRuehl" w:hAnsi="FrankRuehl" w:cs="FrankRuehl"/>
          <w:rtl/>
        </w:rPr>
        <w:t>"</w:t>
      </w:r>
      <w:r w:rsidRPr="00A01937">
        <w:rPr>
          <w:rFonts w:ascii="FrankRuehl" w:hAnsi="FrankRuehl" w:cs="FrankRuehl"/>
          <w:rtl/>
        </w:rPr>
        <w:t xml:space="preserve"> </w:t>
      </w:r>
      <w:r w:rsidR="00B87BF1" w:rsidRPr="00A01937">
        <w:rPr>
          <w:rFonts w:ascii="FrankRuehl" w:hAnsi="FrankRuehl" w:cs="FrankRuehl"/>
          <w:rtl/>
        </w:rPr>
        <w:t>שהרי</w:t>
      </w:r>
      <w:r w:rsidRPr="00A01937">
        <w:rPr>
          <w:rFonts w:ascii="FrankRuehl" w:hAnsi="FrankRuehl" w:cs="FrankRuehl"/>
          <w:rtl/>
        </w:rPr>
        <w:t xml:space="preserve"> על ידי של</w:t>
      </w:r>
      <w:r w:rsidR="00B87BF1" w:rsidRPr="00A01937">
        <w:rPr>
          <w:rFonts w:ascii="FrankRuehl" w:hAnsi="FrankRuehl" w:cs="FrankRuehl"/>
          <w:rtl/>
        </w:rPr>
        <w:t>י</w:t>
      </w:r>
      <w:r w:rsidRPr="00A01937">
        <w:rPr>
          <w:rFonts w:ascii="FrankRuehl" w:hAnsi="FrankRuehl" w:cs="FrankRuehl"/>
          <w:rtl/>
        </w:rPr>
        <w:t>ח</w:t>
      </w:r>
      <w:r w:rsidR="00B87BF1" w:rsidRPr="00A01937">
        <w:rPr>
          <w:rFonts w:ascii="FrankRuehl" w:hAnsi="FrankRuehl" w:cs="FrankRuehl"/>
          <w:rtl/>
        </w:rPr>
        <w:t>ת</w:t>
      </w:r>
      <w:r w:rsidRPr="00A01937">
        <w:rPr>
          <w:rFonts w:ascii="FrankRuehl" w:hAnsi="FrankRuehl" w:cs="FrankRuehl"/>
          <w:rtl/>
        </w:rPr>
        <w:t xml:space="preserve"> </w:t>
      </w:r>
      <w:r w:rsidR="00B87BF1" w:rsidRPr="00A01937">
        <w:rPr>
          <w:rFonts w:ascii="FrankRuehl" w:hAnsi="FrankRuehl" w:cs="FrankRuehl"/>
          <w:rtl/>
        </w:rPr>
        <w:t>ה</w:t>
      </w:r>
      <w:r w:rsidRPr="00A01937">
        <w:rPr>
          <w:rFonts w:ascii="FrankRuehl" w:hAnsi="FrankRuehl" w:cs="FrankRuehl"/>
          <w:rtl/>
        </w:rPr>
        <w:t>מרגלים חי מש</w:t>
      </w:r>
      <w:r w:rsidR="00B87BF1" w:rsidRPr="00A01937">
        <w:rPr>
          <w:rFonts w:ascii="FrankRuehl" w:hAnsi="FrankRuehl" w:cs="FrankRuehl"/>
          <w:rtl/>
        </w:rPr>
        <w:t>ה</w:t>
      </w:r>
      <w:r w:rsidRPr="00A01937">
        <w:rPr>
          <w:rFonts w:ascii="FrankRuehl" w:hAnsi="FrankRuehl" w:cs="FrankRuehl"/>
          <w:rtl/>
        </w:rPr>
        <w:t xml:space="preserve"> </w:t>
      </w:r>
      <w:r w:rsidR="00B87BF1" w:rsidRPr="00A01937">
        <w:rPr>
          <w:rFonts w:ascii="FrankRuehl" w:hAnsi="FrankRuehl" w:cs="FrankRuehl"/>
          <w:rtl/>
        </w:rPr>
        <w:t xml:space="preserve">רבנו </w:t>
      </w:r>
      <w:r w:rsidRPr="00A01937">
        <w:rPr>
          <w:rFonts w:ascii="FrankRuehl" w:hAnsi="FrankRuehl" w:cs="FrankRuehl"/>
          <w:rtl/>
        </w:rPr>
        <w:t>ארבעים שנ</w:t>
      </w:r>
      <w:r w:rsidR="00B87BF1" w:rsidRPr="00A01937">
        <w:rPr>
          <w:rFonts w:ascii="FrankRuehl" w:hAnsi="FrankRuehl" w:cs="FrankRuehl"/>
          <w:rtl/>
        </w:rPr>
        <w:t>ה</w:t>
      </w:r>
      <w:r w:rsidRPr="00A01937">
        <w:rPr>
          <w:rFonts w:ascii="FrankRuehl" w:hAnsi="FrankRuehl" w:cs="FrankRuehl"/>
          <w:rtl/>
        </w:rPr>
        <w:t xml:space="preserve"> נוספות,‏ </w:t>
      </w:r>
      <w:r w:rsidR="00B87BF1" w:rsidRPr="00A01937">
        <w:rPr>
          <w:rFonts w:ascii="FrankRuehl" w:hAnsi="FrankRuehl" w:cs="FrankRuehl"/>
          <w:rtl/>
        </w:rPr>
        <w:t xml:space="preserve">שאם לא כן היו נכנסים מיד לארץ ומשה היה מסיים את שליחותו עלי אדמות </w:t>
      </w:r>
      <w:r w:rsidRPr="00A01937">
        <w:rPr>
          <w:rFonts w:ascii="FrankRuehl" w:hAnsi="FrankRuehl" w:cs="FrankRuehl"/>
          <w:rtl/>
        </w:rPr>
        <w:t xml:space="preserve">כי </w:t>
      </w:r>
      <w:r w:rsidR="00B87BF1" w:rsidRPr="00A01937">
        <w:rPr>
          <w:rFonts w:ascii="FrankRuehl" w:hAnsi="FrankRuehl" w:cs="FrankRuehl"/>
          <w:rtl/>
        </w:rPr>
        <w:t>היה צ</w:t>
      </w:r>
      <w:r w:rsidRPr="00A01937">
        <w:rPr>
          <w:rFonts w:ascii="FrankRuehl" w:hAnsi="FrankRuehl" w:cs="FrankRuehl"/>
          <w:rtl/>
        </w:rPr>
        <w:t xml:space="preserve">ריך למות עם כניסתן </w:t>
      </w:r>
      <w:r w:rsidR="00B87BF1" w:rsidRPr="00A01937">
        <w:rPr>
          <w:rFonts w:ascii="FrankRuehl" w:hAnsi="FrankRuehl" w:cs="FrankRuehl"/>
          <w:rtl/>
        </w:rPr>
        <w:t xml:space="preserve">של עם ישראל </w:t>
      </w:r>
      <w:r w:rsidRPr="00A01937">
        <w:rPr>
          <w:rFonts w:ascii="FrankRuehl" w:hAnsi="FrankRuehl" w:cs="FrankRuehl"/>
          <w:rtl/>
        </w:rPr>
        <w:t>לארץ</w:t>
      </w:r>
      <w:r w:rsidR="00B87BF1" w:rsidRPr="00A01937">
        <w:rPr>
          <w:rFonts w:ascii="FrankRuehl" w:hAnsi="FrankRuehl" w:cs="FrankRuehl"/>
          <w:rtl/>
        </w:rPr>
        <w:t>.</w:t>
      </w:r>
    </w:p>
    <w:p w14:paraId="03DF828F" w14:textId="04754FEF" w:rsidR="00B87BF1" w:rsidRPr="00A01937" w:rsidRDefault="00B87BF1" w:rsidP="00A01937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>אומר החתם סופר,</w:t>
      </w:r>
      <w:r w:rsidR="00D41227" w:rsidRPr="00A01937">
        <w:rPr>
          <w:rFonts w:ascii="FrankRuehl" w:hAnsi="FrankRuehl" w:cs="FrankRuehl"/>
          <w:rtl/>
        </w:rPr>
        <w:t xml:space="preserve">‏ גם אצלנו מתפרשת 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>מל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 xml:space="preserve"> לכם ‏(וספרתם לכם)‏ </w:t>
      </w:r>
      <w:r w:rsidRPr="00A01937">
        <w:rPr>
          <w:rFonts w:ascii="FrankRuehl" w:hAnsi="FrankRuehl" w:cs="FrankRuehl"/>
          <w:rtl/>
        </w:rPr>
        <w:t>ספירה</w:t>
      </w:r>
      <w:r w:rsidR="00D41227" w:rsidRPr="00A01937">
        <w:rPr>
          <w:rFonts w:ascii="FrankRuehl" w:hAnsi="FrankRuehl" w:cs="FrankRuehl"/>
          <w:rtl/>
        </w:rPr>
        <w:t xml:space="preserve"> ש</w:t>
      </w:r>
      <w:r w:rsidRPr="00A01937">
        <w:rPr>
          <w:rFonts w:ascii="FrankRuehl" w:hAnsi="FrankRuehl" w:cs="FrankRuehl"/>
          <w:rtl/>
        </w:rPr>
        <w:t xml:space="preserve">תהיה </w:t>
      </w:r>
      <w:r w:rsidR="00D41227" w:rsidRPr="00A01937">
        <w:rPr>
          <w:rFonts w:ascii="FrankRuehl" w:hAnsi="FrankRuehl" w:cs="FrankRuehl"/>
          <w:rtl/>
        </w:rPr>
        <w:t xml:space="preserve">לתועלת 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>אדם‏ ל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 xml:space="preserve">תקדש </w:t>
      </w:r>
      <w:r w:rsidRPr="00A01937">
        <w:rPr>
          <w:rFonts w:ascii="FrankRuehl" w:hAnsi="FrankRuehl" w:cs="FrankRuehl"/>
          <w:rtl/>
        </w:rPr>
        <w:t>ולהיטהר</w:t>
      </w:r>
      <w:r w:rsidR="00D41227" w:rsidRPr="00A01937">
        <w:rPr>
          <w:rFonts w:ascii="FrankRuehl" w:hAnsi="FrankRuehl" w:cs="FrankRuehl"/>
          <w:rtl/>
        </w:rPr>
        <w:t xml:space="preserve"> במשך שבעת 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 xml:space="preserve">שבועות של ספירת 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 xml:space="preserve">עומר ולקבל את 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>תור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 xml:space="preserve"> בט</w:t>
      </w:r>
      <w:r w:rsidRPr="00A01937">
        <w:rPr>
          <w:rFonts w:ascii="FrankRuehl" w:hAnsi="FrankRuehl" w:cs="FrankRuehl"/>
          <w:rtl/>
        </w:rPr>
        <w:t>ה</w:t>
      </w:r>
      <w:r w:rsidR="00D41227" w:rsidRPr="00A01937">
        <w:rPr>
          <w:rFonts w:ascii="FrankRuehl" w:hAnsi="FrankRuehl" w:cs="FrankRuehl"/>
          <w:rtl/>
        </w:rPr>
        <w:t>ר</w:t>
      </w:r>
      <w:r w:rsidRPr="00A01937">
        <w:rPr>
          <w:rFonts w:ascii="FrankRuehl" w:hAnsi="FrankRuehl" w:cs="FrankRuehl"/>
          <w:rtl/>
        </w:rPr>
        <w:t>ה עם תובנות חדשות</w:t>
      </w:r>
      <w:r w:rsidR="00A867D8">
        <w:rPr>
          <w:rFonts w:ascii="FrankRuehl" w:hAnsi="FrankRuehl" w:cs="FrankRuehl" w:hint="cs"/>
          <w:rtl/>
        </w:rPr>
        <w:t xml:space="preserve"> (דרשות רע"ט)</w:t>
      </w:r>
      <w:r w:rsidR="00D41227" w:rsidRPr="00A01937">
        <w:rPr>
          <w:rFonts w:ascii="FrankRuehl" w:hAnsi="FrankRuehl" w:cs="FrankRuehl"/>
          <w:rtl/>
        </w:rPr>
        <w:t>.‏</w:t>
      </w:r>
    </w:p>
    <w:p w14:paraId="2741641F" w14:textId="1449D676" w:rsidR="00B87BF1" w:rsidRPr="00A01937" w:rsidRDefault="00A230D1" w:rsidP="00A01937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 xml:space="preserve">בדברי ימי עמנו </w:t>
      </w:r>
      <w:r w:rsidR="00A867D8">
        <w:rPr>
          <w:rFonts w:ascii="FrankRuehl" w:hAnsi="FrankRuehl" w:cs="FrankRuehl" w:hint="cs"/>
          <w:rtl/>
        </w:rPr>
        <w:t xml:space="preserve">(גמרא יבמות סב:) </w:t>
      </w:r>
      <w:r w:rsidRPr="00A01937">
        <w:rPr>
          <w:rFonts w:ascii="FrankRuehl" w:hAnsi="FrankRuehl" w:cs="FrankRuehl"/>
          <w:rtl/>
        </w:rPr>
        <w:t xml:space="preserve">זכורים הימים </w:t>
      </w:r>
      <w:r w:rsidR="00B87BF1" w:rsidRPr="00A01937">
        <w:rPr>
          <w:rFonts w:ascii="FrankRuehl" w:hAnsi="FrankRuehl" w:cs="FrankRuehl"/>
          <w:rtl/>
        </w:rPr>
        <w:t xml:space="preserve">שבהם אנחנו נמצאים </w:t>
      </w:r>
      <w:r w:rsidRPr="00A01937">
        <w:rPr>
          <w:rFonts w:ascii="FrankRuehl" w:hAnsi="FrankRuehl" w:cs="FrankRuehl"/>
          <w:rtl/>
        </w:rPr>
        <w:t xml:space="preserve">בין פסח לעצרת שנספו בהם עשרים וארבעה אלף תלמידי רבי עקיבא,‏ שלא נהגו כבוד זה בזה.‏ לא נאמר זלזלו זה בזה,‏ אלא </w:t>
      </w:r>
      <w:r w:rsidR="00A867D8">
        <w:rPr>
          <w:rFonts w:ascii="FrankRuehl" w:hAnsi="FrankRuehl" w:cs="FrankRuehl" w:hint="cs"/>
          <w:rtl/>
        </w:rPr>
        <w:t>"</w:t>
      </w:r>
      <w:r w:rsidRPr="00A01937">
        <w:rPr>
          <w:rFonts w:ascii="FrankRuehl" w:hAnsi="FrankRuehl" w:cs="FrankRuehl"/>
          <w:rtl/>
        </w:rPr>
        <w:t>לא נהגו כבוד</w:t>
      </w:r>
      <w:r w:rsidR="00A867D8">
        <w:rPr>
          <w:rFonts w:ascii="FrankRuehl" w:hAnsi="FrankRuehl" w:cs="FrankRuehl" w:hint="cs"/>
          <w:rtl/>
        </w:rPr>
        <w:t>"</w:t>
      </w:r>
      <w:r w:rsidRPr="00A01937">
        <w:rPr>
          <w:rFonts w:ascii="FrankRuehl" w:hAnsi="FrankRuehl" w:cs="FrankRuehl"/>
          <w:rtl/>
        </w:rPr>
        <w:t xml:space="preserve"> </w:t>
      </w:r>
      <w:r w:rsidR="00A867D8">
        <w:rPr>
          <w:rFonts w:ascii="FrankRuehl" w:hAnsi="FrankRuehl" w:cs="FrankRuehl" w:hint="cs"/>
          <w:rtl/>
        </w:rPr>
        <w:t xml:space="preserve">מדוע </w:t>
      </w:r>
      <w:r w:rsidR="00B649BF">
        <w:rPr>
          <w:rFonts w:ascii="FrankRuehl" w:hAnsi="FrankRuehl" w:cs="FrankRuehl" w:hint="cs"/>
          <w:rtl/>
        </w:rPr>
        <w:t xml:space="preserve">- </w:t>
      </w:r>
      <w:r w:rsidR="00A867D8">
        <w:rPr>
          <w:rFonts w:ascii="FrankRuehl" w:hAnsi="FrankRuehl" w:cs="FrankRuehl" w:hint="cs"/>
          <w:rtl/>
        </w:rPr>
        <w:t xml:space="preserve">כי </w:t>
      </w:r>
      <w:r w:rsidRPr="00A01937">
        <w:rPr>
          <w:rFonts w:ascii="FrankRuehl" w:hAnsi="FrankRuehl" w:cs="FrankRuehl"/>
          <w:rtl/>
        </w:rPr>
        <w:t>כל אחד חשב שש</w:t>
      </w:r>
      <w:r w:rsidR="00B87BF1" w:rsidRPr="00A01937">
        <w:rPr>
          <w:rFonts w:ascii="FrankRuehl" w:hAnsi="FrankRuehl" w:cs="FrankRuehl"/>
          <w:rtl/>
        </w:rPr>
        <w:t>י</w:t>
      </w:r>
      <w:r w:rsidRPr="00A01937">
        <w:rPr>
          <w:rFonts w:ascii="FrankRuehl" w:hAnsi="FrankRuehl" w:cs="FrankRuehl"/>
          <w:rtl/>
        </w:rPr>
        <w:t xml:space="preserve">טתו </w:t>
      </w:r>
      <w:r w:rsidR="00A867D8">
        <w:rPr>
          <w:rFonts w:ascii="FrankRuehl" w:hAnsi="FrankRuehl" w:cs="FrankRuehl" w:hint="cs"/>
          <w:rtl/>
        </w:rPr>
        <w:t>היא ה</w:t>
      </w:r>
      <w:r w:rsidRPr="00A01937">
        <w:rPr>
          <w:rFonts w:ascii="FrankRuehl" w:hAnsi="FrankRuehl" w:cs="FrankRuehl"/>
          <w:rtl/>
        </w:rPr>
        <w:t xml:space="preserve">נכונה.‏ </w:t>
      </w:r>
    </w:p>
    <w:p w14:paraId="217462E5" w14:textId="5687E634" w:rsidR="00A230D1" w:rsidRPr="00A01937" w:rsidRDefault="00A230D1" w:rsidP="00B649BF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>פגם חטאם היה שזלזלו ב</w:t>
      </w:r>
      <w:r w:rsidR="00A867D8">
        <w:rPr>
          <w:rFonts w:ascii="FrankRuehl" w:hAnsi="FrankRuehl" w:cs="FrankRuehl" w:hint="cs"/>
          <w:rtl/>
        </w:rPr>
        <w:t>דרכם הרוחנית של</w:t>
      </w:r>
      <w:r w:rsidRPr="00A01937">
        <w:rPr>
          <w:rFonts w:ascii="FrankRuehl" w:hAnsi="FrankRuehl" w:cs="FrankRuehl"/>
          <w:rtl/>
        </w:rPr>
        <w:t xml:space="preserve"> חבריהם למרות שלא הייתה סטיה מההלכה וההשקפה הצרופה.‏ הדבר דומה</w:t>
      </w:r>
      <w:r w:rsidR="00B649BF">
        <w:rPr>
          <w:rFonts w:ascii="FrankRuehl" w:hAnsi="FrankRuehl" w:cs="FrankRuehl" w:hint="cs"/>
          <w:rtl/>
        </w:rPr>
        <w:t xml:space="preserve"> </w:t>
      </w:r>
      <w:r w:rsidRPr="00A01937">
        <w:rPr>
          <w:rFonts w:ascii="FrankRuehl" w:hAnsi="FrankRuehl" w:cs="FrankRuehl"/>
          <w:rtl/>
        </w:rPr>
        <w:t xml:space="preserve">לפי דברי החפץ חיים,‏ לחילות בצבא.‏ אי אפשר שכל החיילים יהיו חיל רגלי או חיל הים,‏ וכל חיל אפילו זה המספק שרותי מלחמה גם הוא תורם למאמץ המלחמתי ואין לזלזל בו.‏ המגפה שפרצה בקרב תלמידי רבי עקיבא </w:t>
      </w:r>
      <w:r w:rsidR="00B87BF1" w:rsidRPr="00A01937">
        <w:rPr>
          <w:rFonts w:ascii="FrankRuehl" w:hAnsi="FrankRuehl" w:cs="FrankRuehl"/>
          <w:rtl/>
        </w:rPr>
        <w:t>בעיצומם</w:t>
      </w:r>
      <w:r w:rsidRPr="00A01937">
        <w:rPr>
          <w:rFonts w:ascii="FrankRuehl" w:hAnsi="FrankRuehl" w:cs="FrankRuehl"/>
          <w:rtl/>
        </w:rPr>
        <w:t xml:space="preserve"> של ימי הספירה הוכיחה בעליל כי בלי אחדות בין קהל </w:t>
      </w:r>
      <w:r w:rsidR="00B87BF1" w:rsidRPr="00A01937">
        <w:rPr>
          <w:rFonts w:ascii="FrankRuehl" w:hAnsi="FrankRuehl" w:cs="FrankRuehl"/>
          <w:rtl/>
        </w:rPr>
        <w:t>עובדי ה' אי</w:t>
      </w:r>
      <w:r w:rsidRPr="00A01937">
        <w:rPr>
          <w:rFonts w:ascii="FrankRuehl" w:hAnsi="FrankRuehl" w:cs="FrankRuehl"/>
          <w:rtl/>
        </w:rPr>
        <w:t xml:space="preserve"> אפשר להגיע להבנה בתורה ולדרגות רוחניות.‏ </w:t>
      </w:r>
    </w:p>
    <w:p w14:paraId="4945217A" w14:textId="32D320F6" w:rsidR="00A230D1" w:rsidRPr="00A01937" w:rsidRDefault="00A230D1" w:rsidP="00A01937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 xml:space="preserve">המדרש ‏(קהלת רבא)‏ אומר:‏ ״שנים עשר אלף זוגות תלמידים היו לרבי עקיבא וכולם מתו בין פסח לעצרת,‏ עד </w:t>
      </w:r>
      <w:r w:rsidR="00B87BF1" w:rsidRPr="00A01937">
        <w:rPr>
          <w:rFonts w:ascii="FrankRuehl" w:hAnsi="FrankRuehl" w:cs="FrankRuehl"/>
          <w:rtl/>
        </w:rPr>
        <w:t>שבא רבי עקיבא ו</w:t>
      </w:r>
      <w:r w:rsidRPr="00A01937">
        <w:rPr>
          <w:rFonts w:ascii="FrankRuehl" w:hAnsi="FrankRuehl" w:cs="FrankRuehl"/>
          <w:rtl/>
        </w:rPr>
        <w:t xml:space="preserve">לקח תלמידים חדשים </w:t>
      </w:r>
      <w:r w:rsidR="00A01937" w:rsidRPr="00A01937">
        <w:rPr>
          <w:rFonts w:ascii="FrankRuehl" w:hAnsi="FrankRuehl" w:cs="FrankRuehl"/>
          <w:rtl/>
        </w:rPr>
        <w:t xml:space="preserve">רבי שמעון בר יוחאי רבי מאיר ועוד, </w:t>
      </w:r>
      <w:r w:rsidRPr="00A01937">
        <w:rPr>
          <w:rFonts w:ascii="FrankRuehl" w:hAnsi="FrankRuehl" w:cs="FrankRuehl"/>
          <w:rtl/>
        </w:rPr>
        <w:t>ואמר להם:‏ הראשונים לא מתו אלא מפני שעינם הי</w:t>
      </w:r>
      <w:r w:rsidR="00A01937" w:rsidRPr="00A01937">
        <w:rPr>
          <w:rFonts w:ascii="FrankRuehl" w:hAnsi="FrankRuehl" w:cs="FrankRuehl"/>
          <w:rtl/>
        </w:rPr>
        <w:t>י</w:t>
      </w:r>
      <w:r w:rsidRPr="00A01937">
        <w:rPr>
          <w:rFonts w:ascii="FrankRuehl" w:hAnsi="FrankRuehl" w:cs="FrankRuehl"/>
          <w:rtl/>
        </w:rPr>
        <w:t xml:space="preserve">תה צרה בתורה זה לזה,‏ אתם לא תהיו כן מיד מלאו כל הארץ תורה״.‏ </w:t>
      </w:r>
    </w:p>
    <w:p w14:paraId="3C47549A" w14:textId="3C37DC76" w:rsidR="00A01937" w:rsidRPr="00A01937" w:rsidRDefault="00A01937" w:rsidP="00A01937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>פלא הוא שמהגמרא משמע שרק לא נהגו כבוד זה בזה ואילו מהמדרש משמע יותר מזה שאף הייתה עינם צרה אחד בשני?</w:t>
      </w:r>
    </w:p>
    <w:p w14:paraId="3E7BA509" w14:textId="6211D224" w:rsidR="00A01937" w:rsidRPr="00A01937" w:rsidRDefault="00A01937" w:rsidP="00B649BF">
      <w:pPr>
        <w:jc w:val="both"/>
        <w:rPr>
          <w:rFonts w:ascii="FrankRuehl" w:hAnsi="FrankRuehl" w:cs="FrankRuehl"/>
          <w:rtl/>
        </w:rPr>
      </w:pPr>
      <w:r w:rsidRPr="00A01937">
        <w:rPr>
          <w:rFonts w:ascii="FrankRuehl" w:hAnsi="FrankRuehl" w:cs="FrankRuehl"/>
          <w:rtl/>
        </w:rPr>
        <w:t xml:space="preserve">התשובה לכך </w:t>
      </w:r>
      <w:r w:rsidR="00A230D1" w:rsidRPr="00A01937">
        <w:rPr>
          <w:rFonts w:ascii="FrankRuehl" w:hAnsi="FrankRuehl" w:cs="FrankRuehl"/>
          <w:rtl/>
        </w:rPr>
        <w:t xml:space="preserve">אומר הרב יחזקאל </w:t>
      </w:r>
      <w:proofErr w:type="spellStart"/>
      <w:r w:rsidR="00A230D1" w:rsidRPr="00A01937">
        <w:rPr>
          <w:rFonts w:ascii="FrankRuehl" w:hAnsi="FrankRuehl" w:cs="FrankRuehl"/>
          <w:rtl/>
        </w:rPr>
        <w:t>לוינשטיין</w:t>
      </w:r>
      <w:proofErr w:type="spellEnd"/>
      <w:r w:rsidR="00A230D1" w:rsidRPr="00A01937">
        <w:rPr>
          <w:rFonts w:ascii="FrankRuehl" w:hAnsi="FrankRuehl" w:cs="FrankRuehl"/>
          <w:rtl/>
        </w:rPr>
        <w:t xml:space="preserve"> בספרו (אור יחזקאל אמונה עמ׳ קכ״ב)‏ שאין סתירה בין דברי הגמרא לדברי המדרש</w:t>
      </w:r>
      <w:r w:rsidRPr="00A01937">
        <w:rPr>
          <w:rFonts w:ascii="FrankRuehl" w:hAnsi="FrankRuehl" w:cs="FrankRuehl"/>
          <w:rtl/>
        </w:rPr>
        <w:t xml:space="preserve">, </w:t>
      </w:r>
      <w:r w:rsidR="00A867D8">
        <w:rPr>
          <w:rFonts w:ascii="FrankRuehl" w:hAnsi="FrankRuehl" w:cs="FrankRuehl" w:hint="cs"/>
          <w:rtl/>
        </w:rPr>
        <w:t>ומדוע כ</w:t>
      </w:r>
      <w:r w:rsidRPr="00A01937">
        <w:rPr>
          <w:rFonts w:ascii="FrankRuehl" w:hAnsi="FrankRuehl" w:cs="FrankRuehl"/>
          <w:rtl/>
        </w:rPr>
        <w:t>שלא נהגו כבוד זה לזה הגיעו לצרות עין בתורה של השני</w:t>
      </w:r>
      <w:r w:rsidR="00B649BF">
        <w:rPr>
          <w:rFonts w:ascii="FrankRuehl" w:hAnsi="FrankRuehl" w:cs="FrankRuehl" w:hint="cs"/>
          <w:rtl/>
        </w:rPr>
        <w:t>.</w:t>
      </w:r>
      <w:r w:rsidRPr="00A01937">
        <w:rPr>
          <w:rFonts w:ascii="FrankRuehl" w:hAnsi="FrankRuehl" w:cs="FrankRuehl"/>
          <w:rtl/>
        </w:rPr>
        <w:t xml:space="preserve"> הזלזול בזולת גורם לירידה בעלייתו הרוחנית או הגשמית של האדם והתוצאות יכולות להיות חמורות.‏ </w:t>
      </w:r>
      <w:r w:rsidR="00A867D8">
        <w:rPr>
          <w:rFonts w:ascii="FrankRuehl" w:hAnsi="FrankRuehl" w:cs="FrankRuehl" w:hint="cs"/>
          <w:rtl/>
        </w:rPr>
        <w:t>(מעבוד ע"פ ספר אמרי חן)</w:t>
      </w:r>
    </w:p>
    <w:sectPr w:rsidR="00A01937" w:rsidRPr="00A01937" w:rsidSect="001140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D1"/>
    <w:rsid w:val="001140C9"/>
    <w:rsid w:val="00A01937"/>
    <w:rsid w:val="00A230D1"/>
    <w:rsid w:val="00A867D8"/>
    <w:rsid w:val="00B649BF"/>
    <w:rsid w:val="00B87BF1"/>
    <w:rsid w:val="00D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17D4"/>
  <w15:chartTrackingRefBased/>
  <w15:docId w15:val="{39121D45-2E6A-4E02-A3CB-DAB2EFD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2023-05-02T10:01:00Z</dcterms:created>
  <dcterms:modified xsi:type="dcterms:W3CDTF">2023-05-02T10:01:00Z</dcterms:modified>
</cp:coreProperties>
</file>