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033F" w14:textId="13B7A182" w:rsidR="00D50B6F" w:rsidRPr="00A16F41" w:rsidRDefault="00D50B6F" w:rsidP="00D50B6F">
      <w:pPr>
        <w:rPr>
          <w:rFonts w:ascii="FrankRuehl" w:hAnsi="FrankRuehl" w:cs="FrankRuehl"/>
          <w:b/>
          <w:bCs/>
          <w:sz w:val="28"/>
          <w:szCs w:val="28"/>
          <w:rtl/>
        </w:rPr>
      </w:pPr>
      <w:r w:rsidRPr="00A16F41">
        <w:rPr>
          <w:rFonts w:ascii="FrankRuehl" w:hAnsi="FrankRuehl" w:cs="FrankRuehl" w:hint="cs"/>
          <w:b/>
          <w:bCs/>
          <w:sz w:val="28"/>
          <w:szCs w:val="28"/>
          <w:rtl/>
        </w:rPr>
        <w:t xml:space="preserve">פרשת </w:t>
      </w:r>
      <w:proofErr w:type="spellStart"/>
      <w:r w:rsidRPr="00A16F41">
        <w:rPr>
          <w:rFonts w:ascii="FrankRuehl" w:hAnsi="FrankRuehl" w:cs="FrankRuehl" w:hint="cs"/>
          <w:b/>
          <w:bCs/>
          <w:sz w:val="28"/>
          <w:szCs w:val="28"/>
          <w:rtl/>
        </w:rPr>
        <w:t>ויקהל</w:t>
      </w:r>
      <w:proofErr w:type="spellEnd"/>
    </w:p>
    <w:p w14:paraId="06BBB24D" w14:textId="1B72D110" w:rsidR="00D50B6F" w:rsidRPr="00A16F41" w:rsidRDefault="00D50B6F" w:rsidP="00D50B6F">
      <w:pPr>
        <w:rPr>
          <w:rFonts w:ascii="FrankRuehl" w:hAnsi="FrankRuehl" w:cs="FrankRuehl"/>
          <w:b/>
          <w:bCs/>
          <w:sz w:val="28"/>
          <w:szCs w:val="28"/>
          <w:rtl/>
        </w:rPr>
      </w:pPr>
      <w:proofErr w:type="spellStart"/>
      <w:r w:rsidRPr="00A16F41">
        <w:rPr>
          <w:rFonts w:ascii="FrankRuehl" w:hAnsi="FrankRuehl" w:cs="FrankRuehl" w:hint="cs"/>
          <w:b/>
          <w:bCs/>
          <w:sz w:val="28"/>
          <w:szCs w:val="28"/>
          <w:rtl/>
        </w:rPr>
        <w:t>הכל</w:t>
      </w:r>
      <w:proofErr w:type="spellEnd"/>
      <w:r w:rsidRPr="00A16F41">
        <w:rPr>
          <w:rFonts w:ascii="FrankRuehl" w:hAnsi="FrankRuehl" w:cs="FrankRuehl" w:hint="cs"/>
          <w:b/>
          <w:bCs/>
          <w:sz w:val="28"/>
          <w:szCs w:val="28"/>
          <w:rtl/>
        </w:rPr>
        <w:t xml:space="preserve"> תלוי ברצון</w:t>
      </w:r>
    </w:p>
    <w:p w14:paraId="24C0B683" w14:textId="539F0727" w:rsidR="00D50B6F" w:rsidRDefault="00D50B6F" w:rsidP="00BC1949">
      <w:pPr>
        <w:jc w:val="both"/>
        <w:rPr>
          <w:rFonts w:ascii="FrankRuehl" w:hAnsi="FrankRuehl" w:cs="FrankRuehl"/>
          <w:sz w:val="28"/>
          <w:szCs w:val="28"/>
          <w:rtl/>
        </w:rPr>
      </w:pPr>
      <w:r>
        <w:rPr>
          <w:rFonts w:ascii="FrankRuehl" w:hAnsi="FrankRuehl" w:cs="FrankRuehl" w:hint="cs"/>
          <w:sz w:val="28"/>
          <w:szCs w:val="28"/>
          <w:rtl/>
        </w:rPr>
        <w:t>בפרשתנו התורה מדברת על בניית מלאכת המשכן ועל תרומת העם</w:t>
      </w:r>
      <w:r w:rsidR="008212B5">
        <w:rPr>
          <w:rFonts w:ascii="FrankRuehl" w:hAnsi="FrankRuehl" w:cs="FrankRuehl" w:hint="cs"/>
          <w:sz w:val="28"/>
          <w:szCs w:val="28"/>
          <w:rtl/>
        </w:rPr>
        <w:t>,</w:t>
      </w:r>
      <w:r>
        <w:rPr>
          <w:rFonts w:ascii="FrankRuehl" w:hAnsi="FrankRuehl" w:cs="FrankRuehl" w:hint="cs"/>
          <w:sz w:val="28"/>
          <w:szCs w:val="28"/>
          <w:rtl/>
        </w:rPr>
        <w:t xml:space="preserve"> הן בתרומת כ</w:t>
      </w:r>
      <w:r w:rsidR="008212B5">
        <w:rPr>
          <w:rFonts w:ascii="FrankRuehl" w:hAnsi="FrankRuehl" w:cs="FrankRuehl" w:hint="cs"/>
          <w:sz w:val="28"/>
          <w:szCs w:val="28"/>
          <w:rtl/>
        </w:rPr>
        <w:t xml:space="preserve">לי הזהב והכסף והן תרומתם לעבודה. </w:t>
      </w:r>
      <w:r>
        <w:rPr>
          <w:rFonts w:ascii="FrankRuehl" w:hAnsi="FrankRuehl" w:cs="FrankRuehl" w:hint="cs"/>
          <w:sz w:val="28"/>
          <w:szCs w:val="28"/>
          <w:rtl/>
        </w:rPr>
        <w:t xml:space="preserve">הרמב"ן </w:t>
      </w:r>
      <w:r w:rsidR="008212B5">
        <w:rPr>
          <w:rFonts w:ascii="FrankRuehl" w:hAnsi="FrankRuehl" w:cs="FrankRuehl" w:hint="cs"/>
          <w:sz w:val="28"/>
          <w:szCs w:val="28"/>
          <w:rtl/>
        </w:rPr>
        <w:t xml:space="preserve">כותב </w:t>
      </w:r>
      <w:r>
        <w:rPr>
          <w:rFonts w:ascii="FrankRuehl" w:hAnsi="FrankRuehl" w:cs="FrankRuehl" w:hint="cs"/>
          <w:sz w:val="28"/>
          <w:szCs w:val="28"/>
          <w:rtl/>
        </w:rPr>
        <w:t>על הפסוק (</w:t>
      </w:r>
      <w:r w:rsidRPr="00D50B6F">
        <w:rPr>
          <w:rFonts w:ascii="FrankRuehl" w:hAnsi="FrankRuehl" w:cs="FrankRuehl"/>
          <w:sz w:val="28"/>
          <w:szCs w:val="28"/>
          <w:rtl/>
        </w:rPr>
        <w:t xml:space="preserve">פרק לה פסוק </w:t>
      </w:r>
      <w:proofErr w:type="spellStart"/>
      <w:r w:rsidRPr="00D50B6F">
        <w:rPr>
          <w:rFonts w:ascii="FrankRuehl" w:hAnsi="FrankRuehl" w:cs="FrankRuehl"/>
          <w:sz w:val="28"/>
          <w:szCs w:val="28"/>
          <w:rtl/>
        </w:rPr>
        <w:t>כא</w:t>
      </w:r>
      <w:proofErr w:type="spellEnd"/>
      <w:r>
        <w:rPr>
          <w:rFonts w:ascii="FrankRuehl" w:hAnsi="FrankRuehl" w:cs="FrankRuehl" w:hint="cs"/>
          <w:sz w:val="28"/>
          <w:szCs w:val="28"/>
          <w:rtl/>
        </w:rPr>
        <w:t xml:space="preserve">) </w:t>
      </w:r>
      <w:r w:rsidRPr="00D50B6F">
        <w:rPr>
          <w:rFonts w:ascii="FrankRuehl" w:hAnsi="FrankRuehl" w:cs="FrankRuehl"/>
          <w:sz w:val="28"/>
          <w:szCs w:val="28"/>
          <w:rtl/>
        </w:rPr>
        <w:t xml:space="preserve">וַיָּבֹאוּ כָּל אִישׁ אֲשֶׁר נְשָׂאוֹ לִבּוֹ וְכֹל אֲשֶׁר נָדְבָה רוּחוֹ אֹתוֹ הֵבִיאוּ אֶת תְּרוּמַת </w:t>
      </w:r>
      <w:r>
        <w:rPr>
          <w:rFonts w:ascii="FrankRuehl" w:hAnsi="FrankRuehl" w:cs="FrankRuehl" w:hint="cs"/>
          <w:sz w:val="28"/>
          <w:szCs w:val="28"/>
          <w:rtl/>
        </w:rPr>
        <w:t>ה',</w:t>
      </w:r>
      <w:r w:rsidRPr="00D50B6F">
        <w:rPr>
          <w:rFonts w:ascii="FrankRuehl" w:hAnsi="FrankRuehl" w:cs="FrankRuehl"/>
          <w:sz w:val="28"/>
          <w:szCs w:val="28"/>
          <w:rtl/>
        </w:rPr>
        <w:t xml:space="preserve"> לִמְלֶאכֶת אֹהֶל מוֹעֵד וּלְכָל </w:t>
      </w:r>
      <w:proofErr w:type="spellStart"/>
      <w:r w:rsidRPr="00D50B6F">
        <w:rPr>
          <w:rFonts w:ascii="FrankRuehl" w:hAnsi="FrankRuehl" w:cs="FrankRuehl"/>
          <w:sz w:val="28"/>
          <w:szCs w:val="28"/>
          <w:rtl/>
        </w:rPr>
        <w:t>עֲבֹדָתו</w:t>
      </w:r>
      <w:proofErr w:type="spellEnd"/>
      <w:r w:rsidRPr="00D50B6F">
        <w:rPr>
          <w:rFonts w:ascii="FrankRuehl" w:hAnsi="FrankRuehl" w:cs="FrankRuehl"/>
          <w:sz w:val="28"/>
          <w:szCs w:val="28"/>
          <w:rtl/>
        </w:rPr>
        <w:t>ֹ וּלְבִגְדֵי הַקֹּדֶשׁ</w:t>
      </w:r>
      <w:r w:rsidR="008212B5">
        <w:rPr>
          <w:rFonts w:ascii="FrankRuehl" w:hAnsi="FrankRuehl" w:cs="FrankRuehl" w:hint="cs"/>
          <w:sz w:val="28"/>
          <w:szCs w:val="28"/>
          <w:rtl/>
        </w:rPr>
        <w:t>, ש</w:t>
      </w:r>
      <w:r w:rsidRPr="00D50B6F">
        <w:rPr>
          <w:rFonts w:ascii="FrankRuehl" w:hAnsi="FrankRuehl" w:cs="FrankRuehl"/>
          <w:sz w:val="28"/>
          <w:szCs w:val="28"/>
          <w:rtl/>
        </w:rPr>
        <w:t xml:space="preserve">כוונת המילים "אשר נשאו לבו", </w:t>
      </w:r>
      <w:r w:rsidR="008212B5">
        <w:rPr>
          <w:rFonts w:ascii="FrankRuehl" w:hAnsi="FrankRuehl" w:cs="FrankRuehl" w:hint="cs"/>
          <w:sz w:val="28"/>
          <w:szCs w:val="28"/>
          <w:rtl/>
        </w:rPr>
        <w:t>ש</w:t>
      </w:r>
      <w:r w:rsidRPr="00D50B6F">
        <w:rPr>
          <w:rFonts w:ascii="FrankRuehl" w:hAnsi="FrankRuehl" w:cs="FrankRuehl"/>
          <w:sz w:val="28"/>
          <w:szCs w:val="28"/>
          <w:rtl/>
        </w:rPr>
        <w:t>לא היה מישהו שידע או שידע ללמד לעשות את כל המלאכות הנצרכות במשכן</w:t>
      </w:r>
      <w:r w:rsidR="008212B5">
        <w:rPr>
          <w:rFonts w:ascii="FrankRuehl" w:hAnsi="FrankRuehl" w:cs="FrankRuehl" w:hint="cs"/>
          <w:sz w:val="28"/>
          <w:szCs w:val="28"/>
          <w:rtl/>
        </w:rPr>
        <w:t xml:space="preserve">. </w:t>
      </w:r>
      <w:r>
        <w:rPr>
          <w:rFonts w:ascii="FrankRuehl" w:hAnsi="FrankRuehl" w:cs="FrankRuehl" w:hint="cs"/>
          <w:sz w:val="28"/>
          <w:szCs w:val="28"/>
          <w:rtl/>
        </w:rPr>
        <w:t>משה רבינו</w:t>
      </w:r>
      <w:r w:rsidRPr="00D50B6F">
        <w:rPr>
          <w:rFonts w:ascii="FrankRuehl" w:hAnsi="FrankRuehl" w:cs="FrankRuehl"/>
          <w:sz w:val="28"/>
          <w:szCs w:val="28"/>
          <w:rtl/>
        </w:rPr>
        <w:t xml:space="preserve"> מצא אנשים שמטבעם ידעו לעשות כן וגבה לב</w:t>
      </w:r>
      <w:r>
        <w:rPr>
          <w:rFonts w:ascii="FrankRuehl" w:hAnsi="FrankRuehl" w:cs="FrankRuehl" w:hint="cs"/>
          <w:sz w:val="28"/>
          <w:szCs w:val="28"/>
          <w:rtl/>
        </w:rPr>
        <w:t>ם</w:t>
      </w:r>
      <w:r w:rsidRPr="00D50B6F">
        <w:rPr>
          <w:rFonts w:ascii="FrankRuehl" w:hAnsi="FrankRuehl" w:cs="FrankRuehl"/>
          <w:sz w:val="28"/>
          <w:szCs w:val="28"/>
          <w:rtl/>
        </w:rPr>
        <w:t xml:space="preserve"> בדרכי השם לבוא לפני משה ולומר לו</w:t>
      </w:r>
      <w:r>
        <w:rPr>
          <w:rFonts w:ascii="FrankRuehl" w:hAnsi="FrankRuehl" w:cs="FrankRuehl" w:hint="cs"/>
          <w:sz w:val="28"/>
          <w:szCs w:val="28"/>
          <w:rtl/>
        </w:rPr>
        <w:t xml:space="preserve"> </w:t>
      </w:r>
      <w:r w:rsidRPr="00D50B6F">
        <w:rPr>
          <w:rFonts w:ascii="FrankRuehl" w:hAnsi="FrankRuehl" w:cs="FrankRuehl"/>
          <w:sz w:val="28"/>
          <w:szCs w:val="28"/>
          <w:rtl/>
        </w:rPr>
        <w:t>"אני אעשה כל אשר אד</w:t>
      </w:r>
      <w:r>
        <w:rPr>
          <w:rFonts w:ascii="FrankRuehl" w:hAnsi="FrankRuehl" w:cs="FrankRuehl" w:hint="cs"/>
          <w:sz w:val="28"/>
          <w:szCs w:val="28"/>
          <w:rtl/>
        </w:rPr>
        <w:t>ו</w:t>
      </w:r>
      <w:r w:rsidRPr="00D50B6F">
        <w:rPr>
          <w:rFonts w:ascii="FrankRuehl" w:hAnsi="FrankRuehl" w:cs="FrankRuehl"/>
          <w:sz w:val="28"/>
          <w:szCs w:val="28"/>
          <w:rtl/>
        </w:rPr>
        <w:t>ני דובר".</w:t>
      </w:r>
    </w:p>
    <w:p w14:paraId="212AA01C" w14:textId="13FB1137" w:rsidR="005315EE" w:rsidRDefault="005315EE" w:rsidP="00BC1949">
      <w:pPr>
        <w:jc w:val="both"/>
        <w:rPr>
          <w:rFonts w:ascii="FrankRuehl" w:hAnsi="FrankRuehl" w:cs="FrankRuehl"/>
          <w:sz w:val="28"/>
          <w:szCs w:val="28"/>
          <w:rtl/>
        </w:rPr>
      </w:pPr>
      <w:r>
        <w:rPr>
          <w:rFonts w:ascii="FrankRuehl" w:hAnsi="FrankRuehl" w:cs="FrankRuehl" w:hint="cs"/>
          <w:sz w:val="28"/>
          <w:szCs w:val="28"/>
          <w:rtl/>
        </w:rPr>
        <w:t>בספר שערי דרך (חלק א ע' פה) כותב ש</w:t>
      </w:r>
      <w:r w:rsidR="00D50B6F">
        <w:rPr>
          <w:rFonts w:ascii="FrankRuehl" w:hAnsi="FrankRuehl" w:cs="FrankRuehl" w:hint="cs"/>
          <w:sz w:val="28"/>
          <w:szCs w:val="28"/>
          <w:rtl/>
        </w:rPr>
        <w:t xml:space="preserve">הגאון </w:t>
      </w:r>
      <w:r w:rsidR="00D50B6F" w:rsidRPr="00D50B6F">
        <w:rPr>
          <w:rFonts w:ascii="FrankRuehl" w:hAnsi="FrankRuehl" w:cs="FrankRuehl"/>
          <w:sz w:val="28"/>
          <w:szCs w:val="28"/>
          <w:rtl/>
        </w:rPr>
        <w:t xml:space="preserve">רבי חיים </w:t>
      </w:r>
      <w:proofErr w:type="spellStart"/>
      <w:r w:rsidR="00D50B6F" w:rsidRPr="00D50B6F">
        <w:rPr>
          <w:rFonts w:ascii="FrankRuehl" w:hAnsi="FrankRuehl" w:cs="FrankRuehl"/>
          <w:sz w:val="28"/>
          <w:szCs w:val="28"/>
          <w:rtl/>
        </w:rPr>
        <w:t>שמואלביץ</w:t>
      </w:r>
      <w:proofErr w:type="spellEnd"/>
      <w:r w:rsidR="00D50B6F" w:rsidRPr="00D50B6F">
        <w:rPr>
          <w:rFonts w:ascii="FrankRuehl" w:hAnsi="FrankRuehl" w:cs="FrankRuehl"/>
          <w:sz w:val="28"/>
          <w:szCs w:val="28"/>
          <w:rtl/>
        </w:rPr>
        <w:t xml:space="preserve"> היה אומר, שמדברי הרמב"ן ישנו לקח נוקב לכל יהודי ויהודי</w:t>
      </w:r>
      <w:r w:rsidR="00BC1949">
        <w:rPr>
          <w:rFonts w:ascii="FrankRuehl" w:hAnsi="FrankRuehl" w:cs="FrankRuehl" w:hint="cs"/>
          <w:sz w:val="28"/>
          <w:szCs w:val="28"/>
          <w:rtl/>
        </w:rPr>
        <w:t xml:space="preserve">. </w:t>
      </w:r>
      <w:r w:rsidR="00D50B6F" w:rsidRPr="00D50B6F">
        <w:rPr>
          <w:rFonts w:ascii="FrankRuehl" w:hAnsi="FrankRuehl" w:cs="FrankRuehl"/>
          <w:sz w:val="28"/>
          <w:szCs w:val="28"/>
          <w:rtl/>
        </w:rPr>
        <w:t>דרכו של אדם, שאם מבקשים ממנו לעשות יותר, הוא מתחיל להצטדק ולטעון שהוא לא יכול, הוא לא למד וכי הדבר למעלה מכוחותיו וחבל על עמלו ויגיעתו שיהיו בלאו הכי לריק. מול אדם כזה, עומד הרמב"ן ואומר לו, שקרן, אתה דובר שקרים, שהרי אין</w:t>
      </w:r>
      <w:r>
        <w:rPr>
          <w:rFonts w:ascii="FrankRuehl" w:hAnsi="FrankRuehl" w:cs="FrankRuehl" w:hint="cs"/>
          <w:sz w:val="28"/>
          <w:szCs w:val="28"/>
          <w:rtl/>
        </w:rPr>
        <w:t xml:space="preserve"> </w:t>
      </w:r>
      <w:r w:rsidR="00D50B6F" w:rsidRPr="00D50B6F">
        <w:rPr>
          <w:rFonts w:ascii="FrankRuehl" w:hAnsi="FrankRuehl" w:cs="FrankRuehl"/>
          <w:sz w:val="28"/>
          <w:szCs w:val="28"/>
          <w:rtl/>
        </w:rPr>
        <w:t>לך דבר יותר קשה ממלאכת המשכן, שכתוב "לחשוב מחשבות לעשות בזהב ובכסף וכו' ובחרושת עץ לעשות בכל מלאכת מחשבת".</w:t>
      </w:r>
    </w:p>
    <w:p w14:paraId="5D6425A4" w14:textId="166130A0" w:rsidR="00D50B6F" w:rsidRPr="00D50B6F" w:rsidRDefault="00D50B6F" w:rsidP="00BC1949">
      <w:pPr>
        <w:jc w:val="both"/>
        <w:rPr>
          <w:rFonts w:ascii="FrankRuehl" w:hAnsi="FrankRuehl" w:cs="FrankRuehl"/>
          <w:sz w:val="28"/>
          <w:szCs w:val="28"/>
          <w:rtl/>
        </w:rPr>
      </w:pPr>
      <w:r w:rsidRPr="00D50B6F">
        <w:rPr>
          <w:rFonts w:ascii="FrankRuehl" w:hAnsi="FrankRuehl" w:cs="FrankRuehl"/>
          <w:sz w:val="28"/>
          <w:szCs w:val="28"/>
          <w:rtl/>
        </w:rPr>
        <w:t>אם ניגש לאדם שלא למד מעולם עבודות אלו ונאמר לו תבנה</w:t>
      </w:r>
      <w:r w:rsidR="005315EE">
        <w:rPr>
          <w:rFonts w:ascii="FrankRuehl" w:hAnsi="FrankRuehl" w:cs="FrankRuehl" w:hint="cs"/>
          <w:sz w:val="28"/>
          <w:szCs w:val="28"/>
          <w:rtl/>
        </w:rPr>
        <w:t xml:space="preserve"> </w:t>
      </w:r>
      <w:r w:rsidRPr="00D50B6F">
        <w:rPr>
          <w:rFonts w:ascii="FrankRuehl" w:hAnsi="FrankRuehl" w:cs="FrankRuehl"/>
          <w:sz w:val="28"/>
          <w:szCs w:val="28"/>
          <w:rtl/>
        </w:rPr>
        <w:t xml:space="preserve">גלגל </w:t>
      </w:r>
      <w:r w:rsidR="005315EE">
        <w:rPr>
          <w:rFonts w:ascii="FrankRuehl" w:hAnsi="FrankRuehl" w:cs="FrankRuehl" w:hint="cs"/>
          <w:sz w:val="28"/>
          <w:szCs w:val="28"/>
          <w:rtl/>
        </w:rPr>
        <w:t>מ</w:t>
      </w:r>
      <w:r w:rsidRPr="00D50B6F">
        <w:rPr>
          <w:rFonts w:ascii="FrankRuehl" w:hAnsi="FrankRuehl" w:cs="FrankRuehl"/>
          <w:sz w:val="28"/>
          <w:szCs w:val="28"/>
          <w:rtl/>
        </w:rPr>
        <w:t>עץ, הוא יאמר שאין</w:t>
      </w:r>
      <w:r w:rsidR="005315EE">
        <w:rPr>
          <w:rFonts w:ascii="FrankRuehl" w:hAnsi="FrankRuehl" w:cs="FrankRuehl" w:hint="cs"/>
          <w:sz w:val="28"/>
          <w:szCs w:val="28"/>
          <w:rtl/>
        </w:rPr>
        <w:t xml:space="preserve"> </w:t>
      </w:r>
      <w:r w:rsidRPr="00D50B6F">
        <w:rPr>
          <w:rFonts w:ascii="FrankRuehl" w:hAnsi="FrankRuehl" w:cs="FrankRuehl"/>
          <w:sz w:val="28"/>
          <w:szCs w:val="28"/>
          <w:rtl/>
        </w:rPr>
        <w:t xml:space="preserve">לו שום סיכוי להצליח, אע"פ כן מי שקיבל על עצמו ונשא ליבו בחכמה ולומר "כל אשר אדוני דובר" עשה והצליח והקים את המשכן ע"י "ויגבה לבו בדרכי ה'". וא"כ, אם הדבר כך במלאכה מורכבת </w:t>
      </w:r>
      <w:r w:rsidR="005315EE">
        <w:rPr>
          <w:rFonts w:ascii="FrankRuehl" w:hAnsi="FrankRuehl" w:cs="FrankRuehl" w:hint="cs"/>
          <w:sz w:val="28"/>
          <w:szCs w:val="28"/>
          <w:rtl/>
        </w:rPr>
        <w:t>של בניית המשכן</w:t>
      </w:r>
      <w:r w:rsidRPr="00D50B6F">
        <w:rPr>
          <w:rFonts w:ascii="FrankRuehl" w:hAnsi="FrankRuehl" w:cs="FrankRuehl"/>
          <w:sz w:val="28"/>
          <w:szCs w:val="28"/>
          <w:rtl/>
        </w:rPr>
        <w:t>, שמטבע הדברים צריך להצלחתה מומחיות מיוחדת, ידיים עדינות, כ"ש כל ענייני עבודת השי"ת המוטלים על האדם</w:t>
      </w:r>
      <w:r w:rsidR="00BC1949">
        <w:rPr>
          <w:rFonts w:ascii="FrankRuehl" w:hAnsi="FrankRuehl" w:cs="FrankRuehl" w:hint="cs"/>
          <w:sz w:val="28"/>
          <w:szCs w:val="28"/>
          <w:rtl/>
        </w:rPr>
        <w:t xml:space="preserve">. </w:t>
      </w:r>
      <w:r w:rsidRPr="00D50B6F">
        <w:rPr>
          <w:rFonts w:ascii="FrankRuehl" w:hAnsi="FrankRuehl" w:cs="FrankRuehl"/>
          <w:sz w:val="28"/>
          <w:szCs w:val="28"/>
          <w:rtl/>
        </w:rPr>
        <w:t>אין</w:t>
      </w:r>
      <w:r w:rsidR="00BC1949">
        <w:rPr>
          <w:rFonts w:ascii="FrankRuehl" w:hAnsi="FrankRuehl" w:cs="FrankRuehl"/>
          <w:sz w:val="28"/>
          <w:szCs w:val="28"/>
          <w:rtl/>
        </w:rPr>
        <w:t xml:space="preserve"> כל הצדקה לאדם לומר שאינו מסוגל</w:t>
      </w:r>
      <w:r w:rsidR="00BC1949">
        <w:rPr>
          <w:rFonts w:ascii="FrankRuehl" w:hAnsi="FrankRuehl" w:cs="FrankRuehl" w:hint="cs"/>
          <w:sz w:val="28"/>
          <w:szCs w:val="28"/>
          <w:rtl/>
        </w:rPr>
        <w:t xml:space="preserve">, </w:t>
      </w:r>
      <w:r w:rsidRPr="00D50B6F">
        <w:rPr>
          <w:rFonts w:ascii="FrankRuehl" w:hAnsi="FrankRuehl" w:cs="FrankRuehl"/>
          <w:sz w:val="28"/>
          <w:szCs w:val="28"/>
          <w:rtl/>
        </w:rPr>
        <w:t>אלא "ויגבה לבו בדרכי השם", ויעשה ויצליח וי</w:t>
      </w:r>
      <w:r w:rsidR="005315EE">
        <w:rPr>
          <w:rFonts w:ascii="FrankRuehl" w:hAnsi="FrankRuehl" w:cs="FrankRuehl" w:hint="cs"/>
          <w:sz w:val="28"/>
          <w:szCs w:val="28"/>
          <w:rtl/>
        </w:rPr>
        <w:t>י</w:t>
      </w:r>
      <w:r w:rsidRPr="00D50B6F">
        <w:rPr>
          <w:rFonts w:ascii="FrankRuehl" w:hAnsi="FrankRuehl" w:cs="FrankRuehl"/>
          <w:sz w:val="28"/>
          <w:szCs w:val="28"/>
          <w:rtl/>
        </w:rPr>
        <w:t>ווכח שכוחו במותניו לעשות גדולות ונצורות.</w:t>
      </w:r>
    </w:p>
    <w:p w14:paraId="6604F2F2" w14:textId="5CC9A05D" w:rsidR="00D50B6F" w:rsidRPr="00D50B6F" w:rsidRDefault="00A16F41" w:rsidP="00BC1949">
      <w:pPr>
        <w:jc w:val="both"/>
        <w:rPr>
          <w:rFonts w:ascii="FrankRuehl" w:hAnsi="FrankRuehl" w:cs="FrankRuehl"/>
          <w:sz w:val="28"/>
          <w:szCs w:val="28"/>
          <w:rtl/>
        </w:rPr>
      </w:pPr>
      <w:r w:rsidRPr="00A16F41">
        <w:rPr>
          <w:rFonts w:ascii="FrankRuehl" w:hAnsi="FrankRuehl" w:cs="FrankRuehl"/>
          <w:sz w:val="28"/>
          <w:szCs w:val="28"/>
          <w:rtl/>
        </w:rPr>
        <w:t xml:space="preserve">חז"ל אומרים </w:t>
      </w:r>
      <w:r>
        <w:rPr>
          <w:rFonts w:ascii="FrankRuehl" w:hAnsi="FrankRuehl" w:cs="FrankRuehl" w:hint="cs"/>
          <w:sz w:val="28"/>
          <w:szCs w:val="28"/>
          <w:rtl/>
        </w:rPr>
        <w:t>שבתיה בתו של פרעה ירדה ליאור וראתה את התיבה של משה היא שלחה</w:t>
      </w:r>
      <w:r w:rsidRPr="00A16F41">
        <w:rPr>
          <w:rFonts w:ascii="FrankRuehl" w:hAnsi="FrankRuehl" w:cs="FrankRuehl"/>
          <w:sz w:val="28"/>
          <w:szCs w:val="28"/>
          <w:rtl/>
        </w:rPr>
        <w:t xml:space="preserve"> את אמתה</w:t>
      </w:r>
      <w:r>
        <w:rPr>
          <w:rFonts w:ascii="FrankRuehl" w:hAnsi="FrankRuehl" w:cs="FrankRuehl" w:hint="cs"/>
          <w:sz w:val="28"/>
          <w:szCs w:val="28"/>
          <w:rtl/>
        </w:rPr>
        <w:t xml:space="preserve"> דהיינו</w:t>
      </w:r>
      <w:r w:rsidRPr="00A16F41">
        <w:rPr>
          <w:rFonts w:ascii="FrankRuehl" w:hAnsi="FrankRuehl" w:cs="FrankRuehl"/>
          <w:sz w:val="28"/>
          <w:szCs w:val="28"/>
          <w:rtl/>
        </w:rPr>
        <w:t xml:space="preserve"> ידה</w:t>
      </w:r>
      <w:r w:rsidR="00BC1949">
        <w:rPr>
          <w:rFonts w:ascii="FrankRuehl" w:hAnsi="FrankRuehl" w:cs="FrankRuehl" w:hint="cs"/>
          <w:sz w:val="28"/>
          <w:szCs w:val="28"/>
          <w:rtl/>
        </w:rPr>
        <w:t xml:space="preserve">. </w:t>
      </w:r>
      <w:r w:rsidRPr="00A16F41">
        <w:rPr>
          <w:rFonts w:ascii="FrankRuehl" w:hAnsi="FrankRuehl" w:cs="FrankRuehl"/>
          <w:sz w:val="28"/>
          <w:szCs w:val="28"/>
          <w:rtl/>
        </w:rPr>
        <w:t>תיבתו של משה רחוקה הי</w:t>
      </w:r>
      <w:r>
        <w:rPr>
          <w:rFonts w:ascii="FrankRuehl" w:hAnsi="FrankRuehl" w:cs="FrankRuehl" w:hint="cs"/>
          <w:sz w:val="28"/>
          <w:szCs w:val="28"/>
          <w:rtl/>
        </w:rPr>
        <w:t>י</w:t>
      </w:r>
      <w:r w:rsidRPr="00A16F41">
        <w:rPr>
          <w:rFonts w:ascii="FrankRuehl" w:hAnsi="FrankRuehl" w:cs="FrankRuehl"/>
          <w:sz w:val="28"/>
          <w:szCs w:val="28"/>
          <w:rtl/>
        </w:rPr>
        <w:t xml:space="preserve">תה שישים אמה </w:t>
      </w:r>
      <w:proofErr w:type="spellStart"/>
      <w:r w:rsidRPr="00A16F41">
        <w:rPr>
          <w:rFonts w:ascii="FrankRuehl" w:hAnsi="FrankRuehl" w:cs="FrankRuehl"/>
          <w:sz w:val="28"/>
          <w:szCs w:val="28"/>
          <w:rtl/>
        </w:rPr>
        <w:t>ונשתרבבה</w:t>
      </w:r>
      <w:proofErr w:type="spellEnd"/>
      <w:r w:rsidRPr="00A16F41">
        <w:rPr>
          <w:rFonts w:ascii="FrankRuehl" w:hAnsi="FrankRuehl" w:cs="FrankRuehl"/>
          <w:sz w:val="28"/>
          <w:szCs w:val="28"/>
          <w:rtl/>
        </w:rPr>
        <w:t xml:space="preserve"> ידה עד לשם</w:t>
      </w:r>
      <w:r w:rsidR="00BC1949">
        <w:rPr>
          <w:rFonts w:ascii="FrankRuehl" w:hAnsi="FrankRuehl" w:cs="FrankRuehl" w:hint="cs"/>
          <w:sz w:val="28"/>
          <w:szCs w:val="28"/>
          <w:rtl/>
        </w:rPr>
        <w:t xml:space="preserve">. </w:t>
      </w:r>
      <w:bookmarkStart w:id="0" w:name="_GoBack"/>
      <w:bookmarkEnd w:id="0"/>
      <w:r w:rsidRPr="00A16F41">
        <w:rPr>
          <w:rFonts w:ascii="FrankRuehl" w:hAnsi="FrankRuehl" w:cs="FrankRuehl"/>
          <w:sz w:val="28"/>
          <w:szCs w:val="28"/>
          <w:rtl/>
        </w:rPr>
        <w:t xml:space="preserve">כלום נתארכה ידה, אלא שבאותה יד עצמה הגיעה עד למרחק, איך זה ייתכן אלא </w:t>
      </w:r>
      <w:proofErr w:type="spellStart"/>
      <w:r w:rsidRPr="00A16F41">
        <w:rPr>
          <w:rFonts w:ascii="FrankRuehl" w:hAnsi="FrankRuehl" w:cs="FrankRuehl"/>
          <w:sz w:val="28"/>
          <w:szCs w:val="28"/>
          <w:rtl/>
        </w:rPr>
        <w:t>הכל</w:t>
      </w:r>
      <w:proofErr w:type="spellEnd"/>
      <w:r w:rsidRPr="00A16F41">
        <w:rPr>
          <w:rFonts w:ascii="FrankRuehl" w:hAnsi="FrankRuehl" w:cs="FrankRuehl"/>
          <w:sz w:val="28"/>
          <w:szCs w:val="28"/>
          <w:rtl/>
        </w:rPr>
        <w:t xml:space="preserve"> מכוחו של האדם שע"י ייחוד לב להצלתו של נפש אדם, בכוחו להגיע לכל מקום.</w:t>
      </w:r>
    </w:p>
    <w:sectPr w:rsidR="00D50B6F" w:rsidRPr="00D50B6F"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F"/>
    <w:rsid w:val="00152B80"/>
    <w:rsid w:val="00373DA6"/>
    <w:rsid w:val="005315EE"/>
    <w:rsid w:val="008212B5"/>
    <w:rsid w:val="00A16F41"/>
    <w:rsid w:val="00A270FF"/>
    <w:rsid w:val="00BC1949"/>
    <w:rsid w:val="00D50B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321B"/>
  <w15:chartTrackingRefBased/>
  <w15:docId w15:val="{C97FC4DE-17CB-4468-825E-3448EB1D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797553">
      <w:bodyDiv w:val="1"/>
      <w:marLeft w:val="0"/>
      <w:marRight w:val="0"/>
      <w:marTop w:val="0"/>
      <w:marBottom w:val="0"/>
      <w:divBdr>
        <w:top w:val="none" w:sz="0" w:space="0" w:color="auto"/>
        <w:left w:val="none" w:sz="0" w:space="0" w:color="auto"/>
        <w:bottom w:val="none" w:sz="0" w:space="0" w:color="auto"/>
        <w:right w:val="none" w:sz="0" w:space="0" w:color="auto"/>
      </w:divBdr>
      <w:divsChild>
        <w:div w:id="323702404">
          <w:marLeft w:val="0"/>
          <w:marRight w:val="0"/>
          <w:marTop w:val="0"/>
          <w:marBottom w:val="0"/>
          <w:divBdr>
            <w:top w:val="none" w:sz="0" w:space="0" w:color="auto"/>
            <w:left w:val="none" w:sz="0" w:space="0" w:color="auto"/>
            <w:bottom w:val="none" w:sz="0" w:space="0" w:color="auto"/>
            <w:right w:val="none" w:sz="0" w:space="0" w:color="auto"/>
          </w:divBdr>
        </w:div>
        <w:div w:id="1342273235">
          <w:marLeft w:val="0"/>
          <w:marRight w:val="0"/>
          <w:marTop w:val="0"/>
          <w:marBottom w:val="0"/>
          <w:divBdr>
            <w:top w:val="none" w:sz="0" w:space="0" w:color="auto"/>
            <w:left w:val="none" w:sz="0" w:space="0" w:color="auto"/>
            <w:bottom w:val="none" w:sz="0" w:space="0" w:color="auto"/>
            <w:right w:val="none" w:sz="0" w:space="0" w:color="auto"/>
          </w:divBdr>
        </w:div>
        <w:div w:id="57096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1467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2023-03-16T07:02:00Z</dcterms:created>
  <dcterms:modified xsi:type="dcterms:W3CDTF">2023-03-16T07:02:00Z</dcterms:modified>
</cp:coreProperties>
</file>