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4B04" w14:textId="2B924A03" w:rsidR="003E2942" w:rsidRPr="00223E0D" w:rsidRDefault="003E2942" w:rsidP="00223E0D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223E0D">
        <w:rPr>
          <w:rFonts w:ascii="FrankRuehl" w:hAnsi="FrankRuehl" w:cs="FrankRuehl"/>
          <w:b/>
          <w:bCs/>
          <w:sz w:val="28"/>
          <w:szCs w:val="28"/>
          <w:rtl/>
        </w:rPr>
        <w:t xml:space="preserve">פרשת משפטים </w:t>
      </w:r>
    </w:p>
    <w:p w14:paraId="262E2065" w14:textId="48081393" w:rsidR="003E2942" w:rsidRPr="00223E0D" w:rsidRDefault="00223E0D" w:rsidP="00223E0D">
      <w:pPr>
        <w:jc w:val="both"/>
        <w:rPr>
          <w:rFonts w:ascii="FrankRuehl" w:hAnsi="FrankRuehl" w:cs="FrankRuehl"/>
          <w:b/>
          <w:bCs/>
          <w:sz w:val="28"/>
          <w:szCs w:val="28"/>
        </w:rPr>
      </w:pPr>
      <w:r>
        <w:rPr>
          <w:rFonts w:ascii="FrankRuehl" w:hAnsi="FrankRuehl" w:cs="FrankRuehl" w:hint="cs"/>
          <w:b/>
          <w:bCs/>
          <w:sz w:val="28"/>
          <w:szCs w:val="28"/>
          <w:rtl/>
        </w:rPr>
        <w:t>מה יכול לגרום דבור של שקר</w:t>
      </w:r>
    </w:p>
    <w:p w14:paraId="5FB33261" w14:textId="77777777" w:rsidR="003E2942" w:rsidRPr="00223E0D" w:rsidRDefault="003E2942" w:rsidP="00223E0D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223E0D">
        <w:rPr>
          <w:rFonts w:ascii="FrankRuehl" w:hAnsi="FrankRuehl" w:cs="FrankRuehl"/>
          <w:b/>
          <w:bCs/>
          <w:sz w:val="28"/>
          <w:szCs w:val="28"/>
          <w:rtl/>
        </w:rPr>
        <w:t xml:space="preserve">שמות פרק </w:t>
      </w:r>
      <w:proofErr w:type="spellStart"/>
      <w:r w:rsidRPr="00223E0D">
        <w:rPr>
          <w:rFonts w:ascii="FrankRuehl" w:hAnsi="FrankRuehl" w:cs="FrankRuehl"/>
          <w:b/>
          <w:bCs/>
          <w:sz w:val="28"/>
          <w:szCs w:val="28"/>
          <w:rtl/>
        </w:rPr>
        <w:t>כג</w:t>
      </w:r>
      <w:proofErr w:type="spellEnd"/>
      <w:r w:rsidRPr="00223E0D">
        <w:rPr>
          <w:rFonts w:ascii="FrankRuehl" w:hAnsi="FrankRuehl" w:cs="FrankRuehl"/>
          <w:b/>
          <w:bCs/>
          <w:sz w:val="28"/>
          <w:szCs w:val="28"/>
          <w:rtl/>
        </w:rPr>
        <w:t xml:space="preserve"> פסוק ז (פרשת משפטים)</w:t>
      </w:r>
    </w:p>
    <w:p w14:paraId="00F36E51" w14:textId="4D349259" w:rsidR="003E2942" w:rsidRPr="00223E0D" w:rsidRDefault="003E2942" w:rsidP="00223E0D">
      <w:pPr>
        <w:jc w:val="both"/>
        <w:rPr>
          <w:rFonts w:ascii="FrankRuehl" w:hAnsi="FrankRuehl" w:cs="FrankRuehl"/>
          <w:sz w:val="28"/>
          <w:szCs w:val="28"/>
        </w:rPr>
      </w:pPr>
      <w:r w:rsidRPr="00223E0D">
        <w:rPr>
          <w:rFonts w:ascii="FrankRuehl" w:hAnsi="FrankRuehl" w:cs="FrankRuehl"/>
          <w:sz w:val="28"/>
          <w:szCs w:val="28"/>
          <w:rtl/>
        </w:rPr>
        <w:t xml:space="preserve">נאמר בפרשתנו מִדְּבַר שֶׁקֶר תִּרְחָק וְנָקִי וְצַדִּיק אַל </w:t>
      </w:r>
      <w:proofErr w:type="spellStart"/>
      <w:r w:rsidRPr="00223E0D">
        <w:rPr>
          <w:rFonts w:ascii="FrankRuehl" w:hAnsi="FrankRuehl" w:cs="FrankRuehl"/>
          <w:sz w:val="28"/>
          <w:szCs w:val="28"/>
          <w:rtl/>
        </w:rPr>
        <w:t>תַּהֲרֹג</w:t>
      </w:r>
      <w:proofErr w:type="spellEnd"/>
      <w:r w:rsidRPr="00223E0D">
        <w:rPr>
          <w:rFonts w:ascii="FrankRuehl" w:hAnsi="FrankRuehl" w:cs="FrankRuehl"/>
          <w:sz w:val="28"/>
          <w:szCs w:val="28"/>
          <w:rtl/>
        </w:rPr>
        <w:t xml:space="preserve"> כִּי לֹא אַצְדִּיק רָשָׁע (</w:t>
      </w:r>
      <w:proofErr w:type="spellStart"/>
      <w:r w:rsidRPr="00223E0D">
        <w:rPr>
          <w:rFonts w:ascii="FrankRuehl" w:hAnsi="FrankRuehl" w:cs="FrankRuehl"/>
          <w:sz w:val="28"/>
          <w:szCs w:val="28"/>
          <w:rtl/>
        </w:rPr>
        <w:t>פ"כג</w:t>
      </w:r>
      <w:proofErr w:type="spellEnd"/>
      <w:r w:rsidRPr="00223E0D">
        <w:rPr>
          <w:rFonts w:ascii="FrankRuehl" w:hAnsi="FrankRuehl" w:cs="FrankRuehl"/>
          <w:sz w:val="28"/>
          <w:szCs w:val="28"/>
          <w:rtl/>
        </w:rPr>
        <w:t xml:space="preserve"> פסוק ז)</w:t>
      </w:r>
    </w:p>
    <w:p w14:paraId="35565BF7" w14:textId="7D684B8F" w:rsidR="003E2942" w:rsidRPr="00223E0D" w:rsidRDefault="003E2942" w:rsidP="00223E0D">
      <w:pPr>
        <w:jc w:val="both"/>
        <w:rPr>
          <w:rFonts w:ascii="FrankRuehl" w:hAnsi="FrankRuehl" w:cs="FrankRuehl"/>
          <w:sz w:val="28"/>
          <w:szCs w:val="28"/>
          <w:rtl/>
        </w:rPr>
      </w:pPr>
      <w:r w:rsidRPr="00223E0D">
        <w:rPr>
          <w:rFonts w:ascii="FrankRuehl" w:hAnsi="FrankRuehl" w:cs="FrankRuehl"/>
          <w:sz w:val="28"/>
          <w:szCs w:val="28"/>
          <w:rtl/>
        </w:rPr>
        <w:t>לכאורה, מה הקשר בין שני האיסורים הללו, שהתורה הסמיכה אותם אחד לשני "שקר</w:t>
      </w:r>
      <w:r w:rsidR="00223E0D">
        <w:rPr>
          <w:rFonts w:ascii="FrankRuehl" w:hAnsi="FrankRuehl" w:cs="FrankRuehl" w:hint="cs"/>
          <w:sz w:val="28"/>
          <w:szCs w:val="28"/>
          <w:rtl/>
        </w:rPr>
        <w:t>"</w:t>
      </w:r>
      <w:r w:rsidRPr="00223E0D">
        <w:rPr>
          <w:rFonts w:ascii="FrankRuehl" w:hAnsi="FrankRuehl" w:cs="FrankRuehl"/>
          <w:sz w:val="28"/>
          <w:szCs w:val="28"/>
          <w:rtl/>
        </w:rPr>
        <w:t xml:space="preserve"> </w:t>
      </w:r>
      <w:r w:rsidR="00223E0D">
        <w:rPr>
          <w:rFonts w:ascii="FrankRuehl" w:hAnsi="FrankRuehl" w:cs="FrankRuehl" w:hint="cs"/>
          <w:sz w:val="28"/>
          <w:szCs w:val="28"/>
          <w:rtl/>
        </w:rPr>
        <w:t>"</w:t>
      </w:r>
      <w:r w:rsidRPr="00223E0D">
        <w:rPr>
          <w:rFonts w:ascii="FrankRuehl" w:hAnsi="FrankRuehl" w:cs="FrankRuehl"/>
          <w:sz w:val="28"/>
          <w:szCs w:val="28"/>
          <w:rtl/>
        </w:rPr>
        <w:t xml:space="preserve">והריגת צדיק"? </w:t>
      </w:r>
    </w:p>
    <w:p w14:paraId="34AB401D" w14:textId="59477E23" w:rsidR="003E2942" w:rsidRPr="00223E0D" w:rsidRDefault="003E2942" w:rsidP="009B63D0">
      <w:pPr>
        <w:jc w:val="both"/>
        <w:rPr>
          <w:rFonts w:ascii="FrankRuehl" w:hAnsi="FrankRuehl" w:cs="FrankRuehl"/>
          <w:sz w:val="28"/>
          <w:szCs w:val="28"/>
          <w:rtl/>
        </w:rPr>
      </w:pPr>
      <w:r w:rsidRPr="00223E0D">
        <w:rPr>
          <w:rFonts w:ascii="FrankRuehl" w:hAnsi="FrankRuehl" w:cs="FrankRuehl"/>
          <w:sz w:val="28"/>
          <w:szCs w:val="28"/>
          <w:rtl/>
        </w:rPr>
        <w:t>מיישבים המפרשים על פי הסיפור בגמרא מסכת בסנהדרין (דף צ"ז.)</w:t>
      </w:r>
      <w:r w:rsidR="009B63D0">
        <w:rPr>
          <w:rFonts w:ascii="FrankRuehl" w:hAnsi="FrankRuehl" w:cs="FrankRuehl" w:hint="cs"/>
          <w:sz w:val="28"/>
          <w:szCs w:val="28"/>
          <w:rtl/>
        </w:rPr>
        <w:t>:</w:t>
      </w:r>
    </w:p>
    <w:p w14:paraId="693872C3" w14:textId="7CEE1678" w:rsidR="003E2942" w:rsidRPr="00223E0D" w:rsidRDefault="003E2942" w:rsidP="009B63D0">
      <w:pPr>
        <w:jc w:val="both"/>
        <w:rPr>
          <w:rFonts w:ascii="FrankRuehl" w:hAnsi="FrankRuehl" w:cs="FrankRuehl"/>
          <w:sz w:val="28"/>
          <w:szCs w:val="28"/>
          <w:rtl/>
        </w:rPr>
      </w:pPr>
      <w:r w:rsidRPr="00223E0D">
        <w:rPr>
          <w:rFonts w:ascii="FrankRuehl" w:hAnsi="FrankRuehl" w:cs="FrankRuehl"/>
          <w:sz w:val="28"/>
          <w:szCs w:val="28"/>
          <w:rtl/>
        </w:rPr>
        <w:t>היה יישוב שנקרא 'קושטא' בלשון חז"ל, ובלשוננו "אמת "</w:t>
      </w:r>
      <w:r w:rsidR="009B63D0">
        <w:rPr>
          <w:rFonts w:ascii="FrankRuehl" w:hAnsi="FrankRuehl" w:cs="FrankRuehl" w:hint="cs"/>
          <w:sz w:val="28"/>
          <w:szCs w:val="28"/>
          <w:rtl/>
        </w:rPr>
        <w:t xml:space="preserve"> -</w:t>
      </w:r>
      <w:r w:rsidRPr="00223E0D">
        <w:rPr>
          <w:rFonts w:ascii="FrankRuehl" w:hAnsi="FrankRuehl" w:cs="FrankRuehl"/>
          <w:sz w:val="28"/>
          <w:szCs w:val="28"/>
          <w:rtl/>
        </w:rPr>
        <w:t>כך קראו ליישוב</w:t>
      </w:r>
      <w:r w:rsidR="009B63D0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223E0D">
        <w:rPr>
          <w:rFonts w:ascii="FrankRuehl" w:hAnsi="FrankRuehl" w:cs="FrankRuehl"/>
          <w:sz w:val="28"/>
          <w:szCs w:val="28"/>
          <w:rtl/>
        </w:rPr>
        <w:t>מדוע קראו ליישוב אמת</w:t>
      </w:r>
      <w:r w:rsidR="009B63D0">
        <w:rPr>
          <w:rFonts w:ascii="FrankRuehl" w:hAnsi="FrankRuehl" w:cs="FrankRuehl" w:hint="cs"/>
          <w:sz w:val="28"/>
          <w:szCs w:val="28"/>
          <w:rtl/>
        </w:rPr>
        <w:t xml:space="preserve">? </w:t>
      </w:r>
      <w:r w:rsidRPr="00223E0D">
        <w:rPr>
          <w:rFonts w:ascii="FrankRuehl" w:hAnsi="FrankRuehl" w:cs="FrankRuehl"/>
          <w:sz w:val="28"/>
          <w:szCs w:val="28"/>
          <w:rtl/>
        </w:rPr>
        <w:t>הגמרא אומרת משום שאנשי המקום נזהרו בכל מאודם לא להוציא דבר שקר מפיהם, וזכו שאף אחד מבני היישוב לא נפטר לפני זמנו טרם עת צעיר</w:t>
      </w:r>
      <w:r w:rsidR="00223E0D">
        <w:rPr>
          <w:rFonts w:ascii="FrankRuehl" w:hAnsi="FrankRuehl" w:cs="FrankRuehl" w:hint="cs"/>
          <w:sz w:val="28"/>
          <w:szCs w:val="28"/>
          <w:rtl/>
        </w:rPr>
        <w:t>,</w:t>
      </w:r>
      <w:r w:rsidRPr="00223E0D">
        <w:rPr>
          <w:rFonts w:ascii="FrankRuehl" w:hAnsi="FrankRuehl" w:cs="FrankRuehl"/>
          <w:sz w:val="28"/>
          <w:szCs w:val="28"/>
          <w:rtl/>
        </w:rPr>
        <w:t xml:space="preserve"> אלא רק זקן.</w:t>
      </w:r>
    </w:p>
    <w:p w14:paraId="01FC154C" w14:textId="0BF21B84" w:rsidR="003E2942" w:rsidRPr="00223E0D" w:rsidRDefault="003E2942" w:rsidP="00223E0D">
      <w:pPr>
        <w:jc w:val="both"/>
        <w:rPr>
          <w:rFonts w:ascii="FrankRuehl" w:hAnsi="FrankRuehl" w:cs="FrankRuehl"/>
          <w:sz w:val="28"/>
          <w:szCs w:val="28"/>
          <w:rtl/>
        </w:rPr>
      </w:pPr>
      <w:r w:rsidRPr="00223E0D">
        <w:rPr>
          <w:rFonts w:ascii="FrankRuehl" w:hAnsi="FrankRuehl" w:cs="FrankRuehl"/>
          <w:sz w:val="28"/>
          <w:szCs w:val="28"/>
          <w:rtl/>
        </w:rPr>
        <w:t>והנה</w:t>
      </w:r>
      <w:r w:rsidR="00223E0D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223E0D">
        <w:rPr>
          <w:rFonts w:ascii="FrankRuehl" w:hAnsi="FrankRuehl" w:cs="FrankRuehl"/>
          <w:sz w:val="28"/>
          <w:szCs w:val="28"/>
          <w:rtl/>
        </w:rPr>
        <w:t xml:space="preserve">יום אחד הגיע ליישוב </w:t>
      </w:r>
      <w:r w:rsidR="00223E0D">
        <w:rPr>
          <w:rFonts w:ascii="FrankRuehl" w:hAnsi="FrankRuehl" w:cs="FrankRuehl" w:hint="cs"/>
          <w:sz w:val="28"/>
          <w:szCs w:val="28"/>
          <w:rtl/>
        </w:rPr>
        <w:t xml:space="preserve">הנ"ל </w:t>
      </w:r>
      <w:r w:rsidRPr="00223E0D">
        <w:rPr>
          <w:rFonts w:ascii="FrankRuehl" w:hAnsi="FrankRuehl" w:cs="FrankRuehl"/>
          <w:sz w:val="28"/>
          <w:szCs w:val="28"/>
          <w:rtl/>
        </w:rPr>
        <w:t>שנקרא" קושט</w:t>
      </w:r>
      <w:r w:rsidR="00223E0D">
        <w:rPr>
          <w:rFonts w:ascii="FrankRuehl" w:hAnsi="FrankRuehl" w:cs="FrankRuehl" w:hint="cs"/>
          <w:sz w:val="28"/>
          <w:szCs w:val="28"/>
          <w:rtl/>
        </w:rPr>
        <w:t>א",</w:t>
      </w:r>
      <w:r w:rsidRPr="00223E0D">
        <w:rPr>
          <w:rFonts w:ascii="FrankRuehl" w:hAnsi="FrankRuehl" w:cs="FrankRuehl"/>
          <w:sz w:val="28"/>
          <w:szCs w:val="28"/>
        </w:rPr>
        <w:t xml:space="preserve"> </w:t>
      </w:r>
      <w:r w:rsidRPr="00223E0D">
        <w:rPr>
          <w:rFonts w:ascii="FrankRuehl" w:hAnsi="FrankRuehl" w:cs="FrankRuehl"/>
          <w:sz w:val="28"/>
          <w:szCs w:val="28"/>
          <w:rtl/>
        </w:rPr>
        <w:t>רב גדול שקראו לו "</w:t>
      </w:r>
      <w:proofErr w:type="spellStart"/>
      <w:r w:rsidRPr="00223E0D">
        <w:rPr>
          <w:rFonts w:ascii="FrankRuehl" w:hAnsi="FrankRuehl" w:cs="FrankRuehl"/>
          <w:sz w:val="28"/>
          <w:szCs w:val="28"/>
          <w:rtl/>
        </w:rPr>
        <w:t>טביומי</w:t>
      </w:r>
      <w:proofErr w:type="spellEnd"/>
      <w:r w:rsidRPr="00223E0D">
        <w:rPr>
          <w:rFonts w:ascii="FrankRuehl" w:hAnsi="FrankRuehl" w:cs="FrankRuehl"/>
          <w:sz w:val="28"/>
          <w:szCs w:val="28"/>
          <w:rtl/>
        </w:rPr>
        <w:t xml:space="preserve">" </w:t>
      </w:r>
      <w:r w:rsidR="00223E0D">
        <w:rPr>
          <w:rFonts w:ascii="FrankRuehl" w:hAnsi="FrankRuehl" w:cs="FrankRuehl" w:hint="cs"/>
          <w:sz w:val="28"/>
          <w:szCs w:val="28"/>
          <w:rtl/>
        </w:rPr>
        <w:t xml:space="preserve">לחפש לו שידוך ואכן </w:t>
      </w:r>
      <w:r w:rsidRPr="00223E0D">
        <w:rPr>
          <w:rFonts w:ascii="FrankRuehl" w:hAnsi="FrankRuehl" w:cs="FrankRuehl"/>
          <w:sz w:val="28"/>
          <w:szCs w:val="28"/>
          <w:rtl/>
        </w:rPr>
        <w:t xml:space="preserve">הוא </w:t>
      </w:r>
      <w:r w:rsidR="00223E0D">
        <w:rPr>
          <w:rFonts w:ascii="FrankRuehl" w:hAnsi="FrankRuehl" w:cs="FrankRuehl" w:hint="cs"/>
          <w:sz w:val="28"/>
          <w:szCs w:val="28"/>
          <w:rtl/>
        </w:rPr>
        <w:t>נ</w:t>
      </w:r>
      <w:r w:rsidRPr="00223E0D">
        <w:rPr>
          <w:rFonts w:ascii="FrankRuehl" w:hAnsi="FrankRuehl" w:cs="FrankRuehl"/>
          <w:sz w:val="28"/>
          <w:szCs w:val="28"/>
          <w:rtl/>
        </w:rPr>
        <w:t xml:space="preserve">פגש שם </w:t>
      </w:r>
      <w:r w:rsidR="00223E0D">
        <w:rPr>
          <w:rFonts w:ascii="FrankRuehl" w:hAnsi="FrankRuehl" w:cs="FrankRuehl" w:hint="cs"/>
          <w:sz w:val="28"/>
          <w:szCs w:val="28"/>
          <w:rtl/>
        </w:rPr>
        <w:t xml:space="preserve">עם </w:t>
      </w:r>
      <w:proofErr w:type="spellStart"/>
      <w:r w:rsidRPr="00223E0D">
        <w:rPr>
          <w:rFonts w:ascii="FrankRuehl" w:hAnsi="FrankRuehl" w:cs="FrankRuehl"/>
          <w:sz w:val="28"/>
          <w:szCs w:val="28"/>
          <w:rtl/>
        </w:rPr>
        <w:t>אשה</w:t>
      </w:r>
      <w:proofErr w:type="spellEnd"/>
      <w:r w:rsidRPr="00223E0D">
        <w:rPr>
          <w:rFonts w:ascii="FrankRuehl" w:hAnsi="FrankRuehl" w:cs="FrankRuehl"/>
          <w:sz w:val="28"/>
          <w:szCs w:val="28"/>
          <w:rtl/>
        </w:rPr>
        <w:t xml:space="preserve"> מתושבי המקום ונשא אותה לאישה, </w:t>
      </w:r>
      <w:r w:rsidR="00223E0D">
        <w:rPr>
          <w:rFonts w:ascii="FrankRuehl" w:hAnsi="FrankRuehl" w:cs="FrankRuehl" w:hint="cs"/>
          <w:sz w:val="28"/>
          <w:szCs w:val="28"/>
          <w:rtl/>
        </w:rPr>
        <w:t>ו</w:t>
      </w:r>
      <w:r w:rsidRPr="00223E0D">
        <w:rPr>
          <w:rFonts w:ascii="FrankRuehl" w:hAnsi="FrankRuehl" w:cs="FrankRuehl"/>
          <w:sz w:val="28"/>
          <w:szCs w:val="28"/>
          <w:rtl/>
        </w:rPr>
        <w:t xml:space="preserve">לאחר זמן נולדו להם שני ילדים. </w:t>
      </w:r>
    </w:p>
    <w:p w14:paraId="75FAFB70" w14:textId="54E0F9CC" w:rsidR="003E2942" w:rsidRPr="00223E0D" w:rsidRDefault="003E2942" w:rsidP="009B63D0">
      <w:pPr>
        <w:jc w:val="both"/>
        <w:rPr>
          <w:rFonts w:ascii="FrankRuehl" w:hAnsi="FrankRuehl" w:cs="FrankRuehl"/>
          <w:sz w:val="28"/>
          <w:szCs w:val="28"/>
          <w:rtl/>
        </w:rPr>
      </w:pPr>
      <w:r w:rsidRPr="00223E0D">
        <w:rPr>
          <w:rFonts w:ascii="FrankRuehl" w:hAnsi="FrankRuehl" w:cs="FrankRuehl"/>
          <w:sz w:val="28"/>
          <w:szCs w:val="28"/>
          <w:rtl/>
        </w:rPr>
        <w:t>יום אחד בערב שבת קודש</w:t>
      </w:r>
      <w:r w:rsidRPr="00223E0D">
        <w:rPr>
          <w:rFonts w:ascii="FrankRuehl" w:hAnsi="FrankRuehl" w:cs="FrankRuehl"/>
          <w:sz w:val="28"/>
          <w:szCs w:val="28"/>
        </w:rPr>
        <w:t xml:space="preserve"> </w:t>
      </w:r>
      <w:r w:rsidRPr="00223E0D">
        <w:rPr>
          <w:rFonts w:ascii="FrankRuehl" w:hAnsi="FrankRuehl" w:cs="FrankRuehl"/>
          <w:sz w:val="28"/>
          <w:szCs w:val="28"/>
          <w:rtl/>
        </w:rPr>
        <w:t xml:space="preserve">בעת שנכנסה </w:t>
      </w:r>
      <w:proofErr w:type="spellStart"/>
      <w:r w:rsidRPr="00223E0D">
        <w:rPr>
          <w:rFonts w:ascii="FrankRuehl" w:hAnsi="FrankRuehl" w:cs="FrankRuehl"/>
          <w:sz w:val="28"/>
          <w:szCs w:val="28"/>
          <w:rtl/>
        </w:rPr>
        <w:t>האשה</w:t>
      </w:r>
      <w:proofErr w:type="spellEnd"/>
      <w:r w:rsidRPr="00223E0D">
        <w:rPr>
          <w:rFonts w:ascii="FrankRuehl" w:hAnsi="FrankRuehl" w:cs="FrankRuehl"/>
          <w:sz w:val="28"/>
          <w:szCs w:val="28"/>
          <w:rtl/>
        </w:rPr>
        <w:t xml:space="preserve"> להתרחץ לכבוד שבת, באה שכנתה ודפקה בביתה ופתח לה את הדלת</w:t>
      </w:r>
      <w:r w:rsidR="00223E0D">
        <w:rPr>
          <w:rFonts w:ascii="FrankRuehl" w:hAnsi="FrankRuehl" w:cs="FrankRuehl" w:hint="cs"/>
          <w:sz w:val="28"/>
          <w:szCs w:val="28"/>
          <w:rtl/>
        </w:rPr>
        <w:t>,</w:t>
      </w:r>
      <w:r w:rsidRPr="00223E0D">
        <w:rPr>
          <w:rFonts w:ascii="FrankRuehl" w:hAnsi="FrankRuehl" w:cs="FrankRuehl"/>
          <w:sz w:val="28"/>
          <w:szCs w:val="28"/>
          <w:rtl/>
        </w:rPr>
        <w:t xml:space="preserve"> בעלה רב </w:t>
      </w:r>
      <w:proofErr w:type="spellStart"/>
      <w:r w:rsidRPr="00223E0D">
        <w:rPr>
          <w:rFonts w:ascii="FrankRuehl" w:hAnsi="FrankRuehl" w:cs="FrankRuehl"/>
          <w:sz w:val="28"/>
          <w:szCs w:val="28"/>
          <w:rtl/>
        </w:rPr>
        <w:t>טביומי</w:t>
      </w:r>
      <w:proofErr w:type="spellEnd"/>
      <w:r w:rsidR="00223E0D">
        <w:rPr>
          <w:rFonts w:ascii="FrankRuehl" w:hAnsi="FrankRuehl" w:cs="FrankRuehl" w:hint="cs"/>
          <w:sz w:val="28"/>
          <w:szCs w:val="28"/>
          <w:rtl/>
        </w:rPr>
        <w:t>,</w:t>
      </w:r>
      <w:r w:rsidRPr="00223E0D">
        <w:rPr>
          <w:rFonts w:ascii="FrankRuehl" w:hAnsi="FrankRuehl" w:cs="FrankRuehl"/>
          <w:sz w:val="28"/>
          <w:szCs w:val="28"/>
          <w:rtl/>
        </w:rPr>
        <w:t xml:space="preserve"> שאלה השכנה האם אשתו של רב </w:t>
      </w:r>
      <w:proofErr w:type="spellStart"/>
      <w:r w:rsidRPr="00223E0D">
        <w:rPr>
          <w:rFonts w:ascii="FrankRuehl" w:hAnsi="FrankRuehl" w:cs="FrankRuehl"/>
          <w:sz w:val="28"/>
          <w:szCs w:val="28"/>
          <w:rtl/>
        </w:rPr>
        <w:t>טביומי</w:t>
      </w:r>
      <w:proofErr w:type="spellEnd"/>
      <w:r w:rsidRPr="00223E0D">
        <w:rPr>
          <w:rFonts w:ascii="FrankRuehl" w:hAnsi="FrankRuehl" w:cs="FrankRuehl"/>
          <w:sz w:val="28"/>
          <w:szCs w:val="28"/>
          <w:rtl/>
        </w:rPr>
        <w:t xml:space="preserve"> נמצאת?</w:t>
      </w:r>
    </w:p>
    <w:p w14:paraId="36D6D364" w14:textId="2323E67A" w:rsidR="003E2942" w:rsidRPr="00223E0D" w:rsidRDefault="003E2942" w:rsidP="009B63D0">
      <w:pPr>
        <w:jc w:val="both"/>
        <w:rPr>
          <w:rFonts w:ascii="FrankRuehl" w:hAnsi="FrankRuehl" w:cs="FrankRuehl"/>
          <w:sz w:val="28"/>
          <w:szCs w:val="28"/>
          <w:rtl/>
        </w:rPr>
      </w:pPr>
      <w:r w:rsidRPr="00223E0D">
        <w:rPr>
          <w:rFonts w:ascii="FrankRuehl" w:hAnsi="FrankRuehl" w:cs="FrankRuehl"/>
          <w:sz w:val="28"/>
          <w:szCs w:val="28"/>
          <w:rtl/>
        </w:rPr>
        <w:t xml:space="preserve">רב </w:t>
      </w:r>
      <w:proofErr w:type="spellStart"/>
      <w:r w:rsidRPr="00223E0D">
        <w:rPr>
          <w:rFonts w:ascii="FrankRuehl" w:hAnsi="FrankRuehl" w:cs="FrankRuehl"/>
          <w:sz w:val="28"/>
          <w:szCs w:val="28"/>
          <w:rtl/>
        </w:rPr>
        <w:t>טביומי</w:t>
      </w:r>
      <w:proofErr w:type="spellEnd"/>
      <w:r w:rsidRPr="00223E0D">
        <w:rPr>
          <w:rFonts w:ascii="FrankRuehl" w:hAnsi="FrankRuehl" w:cs="FrankRuehl"/>
          <w:sz w:val="28"/>
          <w:szCs w:val="28"/>
          <w:rtl/>
        </w:rPr>
        <w:t>, חש כנראה שלא בנוח לומר שאשתו מתרחצת כעת, ואמר שאינה בבית</w:t>
      </w:r>
      <w:r w:rsidR="009B63D0">
        <w:rPr>
          <w:rFonts w:ascii="FrankRuehl" w:hAnsi="FrankRuehl" w:cs="FrankRuehl" w:hint="cs"/>
          <w:sz w:val="28"/>
          <w:szCs w:val="28"/>
          <w:rtl/>
        </w:rPr>
        <w:t>.</w:t>
      </w:r>
      <w:r w:rsidRPr="00223E0D">
        <w:rPr>
          <w:rFonts w:ascii="FrankRuehl" w:hAnsi="FrankRuehl" w:cs="FrankRuehl"/>
          <w:sz w:val="28"/>
          <w:szCs w:val="28"/>
          <w:rtl/>
        </w:rPr>
        <w:t xml:space="preserve"> מספרת הגמרא שמיד שני ילדיו של רב </w:t>
      </w:r>
      <w:proofErr w:type="spellStart"/>
      <w:r w:rsidRPr="00223E0D">
        <w:rPr>
          <w:rFonts w:ascii="FrankRuehl" w:hAnsi="FrankRuehl" w:cs="FrankRuehl"/>
          <w:sz w:val="28"/>
          <w:szCs w:val="28"/>
          <w:rtl/>
        </w:rPr>
        <w:t>טביומי</w:t>
      </w:r>
      <w:proofErr w:type="spellEnd"/>
      <w:r w:rsidRPr="00223E0D">
        <w:rPr>
          <w:rFonts w:ascii="FrankRuehl" w:hAnsi="FrankRuehl" w:cs="FrankRuehl"/>
          <w:sz w:val="28"/>
          <w:szCs w:val="28"/>
          <w:rtl/>
        </w:rPr>
        <w:t xml:space="preserve"> נפטרו. </w:t>
      </w:r>
    </w:p>
    <w:p w14:paraId="5498B6DD" w14:textId="77777777" w:rsidR="00AE5B2E" w:rsidRDefault="003E2942" w:rsidP="00AE5B2E">
      <w:pPr>
        <w:jc w:val="both"/>
        <w:rPr>
          <w:rFonts w:ascii="FrankRuehl" w:hAnsi="FrankRuehl" w:cs="FrankRuehl"/>
          <w:sz w:val="28"/>
          <w:szCs w:val="28"/>
        </w:rPr>
      </w:pPr>
      <w:r w:rsidRPr="00223E0D">
        <w:rPr>
          <w:rFonts w:ascii="FrankRuehl" w:hAnsi="FrankRuehl" w:cs="FrankRuehl"/>
          <w:sz w:val="28"/>
          <w:szCs w:val="28"/>
          <w:rtl/>
        </w:rPr>
        <w:t xml:space="preserve">לאחר מסע </w:t>
      </w:r>
      <w:r w:rsidR="00223E0D" w:rsidRPr="00223E0D">
        <w:rPr>
          <w:rFonts w:ascii="FrankRuehl" w:hAnsi="FrankRuehl" w:cs="FrankRuehl" w:hint="cs"/>
          <w:sz w:val="28"/>
          <w:szCs w:val="28"/>
          <w:rtl/>
        </w:rPr>
        <w:t>ההלווי</w:t>
      </w:r>
      <w:r w:rsidR="00223E0D" w:rsidRPr="00223E0D">
        <w:rPr>
          <w:rFonts w:ascii="FrankRuehl" w:hAnsi="FrankRuehl" w:cs="FrankRuehl" w:hint="eastAsia"/>
          <w:sz w:val="28"/>
          <w:szCs w:val="28"/>
          <w:rtl/>
        </w:rPr>
        <w:t>ה</w:t>
      </w:r>
      <w:r w:rsidRPr="00223E0D">
        <w:rPr>
          <w:rFonts w:ascii="FrankRuehl" w:hAnsi="FrankRuehl" w:cs="FrankRuehl"/>
          <w:sz w:val="28"/>
          <w:szCs w:val="28"/>
          <w:rtl/>
        </w:rPr>
        <w:t xml:space="preserve"> אנשי קושטא הזדעזעו מהמקרה שלא היה רגיל כלל בעירם שצעירים נפטרים בעירם וכל שכן ילדים קטנים, והחלו לחקור מדוע אירע דבר כזה נורא. לאחר</w:t>
      </w:r>
      <w:r w:rsidR="00223E0D" w:rsidRPr="00223E0D">
        <w:rPr>
          <w:rFonts w:ascii="FrankRuehl" w:hAnsi="FrankRuehl" w:cs="FrankRuehl"/>
          <w:sz w:val="28"/>
          <w:szCs w:val="28"/>
          <w:rtl/>
        </w:rPr>
        <w:t xml:space="preserve"> שנודע להם האמת מרב </w:t>
      </w:r>
      <w:proofErr w:type="spellStart"/>
      <w:r w:rsidR="00223E0D" w:rsidRPr="00223E0D">
        <w:rPr>
          <w:rFonts w:ascii="FrankRuehl" w:hAnsi="FrankRuehl" w:cs="FrankRuehl"/>
          <w:sz w:val="28"/>
          <w:szCs w:val="28"/>
          <w:rtl/>
        </w:rPr>
        <w:t>טביומי</w:t>
      </w:r>
      <w:proofErr w:type="spellEnd"/>
      <w:r w:rsidR="00223E0D" w:rsidRPr="00223E0D">
        <w:rPr>
          <w:rFonts w:ascii="FrankRuehl" w:hAnsi="FrankRuehl" w:cs="FrankRuehl"/>
          <w:sz w:val="28"/>
          <w:szCs w:val="28"/>
          <w:rtl/>
        </w:rPr>
        <w:t xml:space="preserve"> שהוא שיקר לשכנה משום בושה</w:t>
      </w:r>
      <w:r w:rsidR="00AE5B2E">
        <w:rPr>
          <w:rFonts w:ascii="FrankRuehl" w:hAnsi="FrankRuehl" w:cs="FrankRuehl" w:hint="cs"/>
          <w:sz w:val="28"/>
          <w:szCs w:val="28"/>
          <w:rtl/>
        </w:rPr>
        <w:t>,</w:t>
      </w:r>
      <w:r w:rsidR="00223E0D" w:rsidRPr="00223E0D">
        <w:rPr>
          <w:rFonts w:ascii="FrankRuehl" w:hAnsi="FrankRuehl" w:cs="FrankRuehl"/>
          <w:sz w:val="28"/>
          <w:szCs w:val="28"/>
          <w:rtl/>
        </w:rPr>
        <w:t xml:space="preserve"> תושבי העיר</w:t>
      </w:r>
      <w:r w:rsidRPr="00223E0D">
        <w:rPr>
          <w:rFonts w:ascii="FrankRuehl" w:hAnsi="FrankRuehl" w:cs="FrankRuehl"/>
          <w:sz w:val="28"/>
          <w:szCs w:val="28"/>
          <w:rtl/>
        </w:rPr>
        <w:t xml:space="preserve"> באו לרב </w:t>
      </w:r>
      <w:proofErr w:type="spellStart"/>
      <w:r w:rsidRPr="00223E0D">
        <w:rPr>
          <w:rFonts w:ascii="FrankRuehl" w:hAnsi="FrankRuehl" w:cs="FrankRuehl"/>
          <w:sz w:val="28"/>
          <w:szCs w:val="28"/>
          <w:rtl/>
        </w:rPr>
        <w:t>טביומי</w:t>
      </w:r>
      <w:proofErr w:type="spellEnd"/>
      <w:r w:rsidRPr="00223E0D">
        <w:rPr>
          <w:rFonts w:ascii="FrankRuehl" w:hAnsi="FrankRuehl" w:cs="FrankRuehl"/>
          <w:sz w:val="28"/>
          <w:szCs w:val="28"/>
          <w:rtl/>
        </w:rPr>
        <w:t xml:space="preserve"> ובקשוהו שיעזוב את העיר, שלא לגרות כאן את מלאך המוות, </w:t>
      </w:r>
      <w:proofErr w:type="spellStart"/>
      <w:r w:rsidRPr="00223E0D">
        <w:rPr>
          <w:rFonts w:ascii="FrankRuehl" w:hAnsi="FrankRuehl" w:cs="FrankRuehl"/>
          <w:sz w:val="28"/>
          <w:szCs w:val="28"/>
          <w:rtl/>
        </w:rPr>
        <w:t>רח"ל</w:t>
      </w:r>
      <w:proofErr w:type="spellEnd"/>
      <w:r w:rsidRPr="00223E0D">
        <w:rPr>
          <w:rFonts w:ascii="FrankRuehl" w:hAnsi="FrankRuehl" w:cs="FrankRuehl"/>
          <w:sz w:val="28"/>
          <w:szCs w:val="28"/>
        </w:rPr>
        <w:t>.</w:t>
      </w:r>
    </w:p>
    <w:p w14:paraId="76F9E9D6" w14:textId="01AC208B" w:rsidR="00223E0D" w:rsidRPr="00223E0D" w:rsidRDefault="003E2942" w:rsidP="00AE5B2E">
      <w:pPr>
        <w:jc w:val="both"/>
        <w:rPr>
          <w:rFonts w:ascii="FrankRuehl" w:hAnsi="FrankRuehl" w:cs="FrankRuehl"/>
          <w:sz w:val="28"/>
          <w:szCs w:val="28"/>
          <w:rtl/>
        </w:rPr>
      </w:pPr>
      <w:r w:rsidRPr="00223E0D">
        <w:rPr>
          <w:rFonts w:ascii="FrankRuehl" w:hAnsi="FrankRuehl" w:cs="FrankRuehl"/>
          <w:sz w:val="28"/>
          <w:szCs w:val="28"/>
          <w:rtl/>
        </w:rPr>
        <w:t xml:space="preserve">רואים מכאן דבר נורא. לפעמים אדם יכול להיות נקי וצדיק, ילדים קטנים שלא טעמו טעם חטא, אך חוסר זהירות ב"מדבר שקר תרחק", עלול, ח"ו, לגרום לכך שנקי וצדיק נהרגו, </w:t>
      </w:r>
      <w:proofErr w:type="spellStart"/>
      <w:r w:rsidRPr="00223E0D">
        <w:rPr>
          <w:rFonts w:ascii="FrankRuehl" w:hAnsi="FrankRuehl" w:cs="FrankRuehl"/>
          <w:sz w:val="28"/>
          <w:szCs w:val="28"/>
          <w:rtl/>
        </w:rPr>
        <w:t>רח"ל</w:t>
      </w:r>
      <w:proofErr w:type="spellEnd"/>
      <w:r w:rsidRPr="00223E0D">
        <w:rPr>
          <w:rFonts w:ascii="FrankRuehl" w:hAnsi="FrankRuehl" w:cs="FrankRuehl"/>
          <w:sz w:val="28"/>
          <w:szCs w:val="28"/>
          <w:rtl/>
        </w:rPr>
        <w:t>.</w:t>
      </w:r>
    </w:p>
    <w:p w14:paraId="209634DF" w14:textId="4DDBAF7F" w:rsidR="00152B80" w:rsidRDefault="00223E0D" w:rsidP="00223E0D">
      <w:pPr>
        <w:jc w:val="both"/>
        <w:rPr>
          <w:rFonts w:ascii="FrankRuehl" w:hAnsi="FrankRuehl" w:cs="FrankRuehl"/>
          <w:sz w:val="28"/>
          <w:szCs w:val="28"/>
          <w:rtl/>
        </w:rPr>
      </w:pPr>
      <w:r w:rsidRPr="00223E0D">
        <w:rPr>
          <w:rFonts w:ascii="FrankRuehl" w:hAnsi="FrankRuehl" w:cs="FrankRuehl"/>
          <w:sz w:val="28"/>
          <w:szCs w:val="28"/>
          <w:rtl/>
        </w:rPr>
        <w:t>ועל זה</w:t>
      </w:r>
      <w:r w:rsidR="00AE5B2E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223E0D">
        <w:rPr>
          <w:rFonts w:ascii="FrankRuehl" w:hAnsi="FrankRuehl" w:cs="FrankRuehl"/>
          <w:sz w:val="28"/>
          <w:szCs w:val="28"/>
          <w:rtl/>
        </w:rPr>
        <w:t>בלבד התורה הזהירה היזהר בדברך:</w:t>
      </w:r>
      <w:r w:rsidR="003E2942" w:rsidRPr="00223E0D">
        <w:rPr>
          <w:rFonts w:ascii="FrankRuehl" w:hAnsi="FrankRuehl" w:cs="FrankRuehl"/>
          <w:sz w:val="28"/>
          <w:szCs w:val="28"/>
          <w:rtl/>
        </w:rPr>
        <w:t xml:space="preserve"> "מדבר שקר תרחק", שלא תגרום ל"ונקי וצדיק אל תהרוג</w:t>
      </w:r>
      <w:r w:rsidR="003E2942" w:rsidRPr="00223E0D">
        <w:rPr>
          <w:rFonts w:ascii="FrankRuehl" w:hAnsi="FrankRuehl" w:cs="FrankRuehl"/>
          <w:sz w:val="28"/>
          <w:szCs w:val="28"/>
        </w:rPr>
        <w:t>".</w:t>
      </w:r>
      <w:r w:rsidRPr="00223E0D">
        <w:rPr>
          <w:rFonts w:ascii="FrankRuehl" w:hAnsi="FrankRuehl" w:cs="FrankRuehl"/>
          <w:sz w:val="28"/>
          <w:szCs w:val="28"/>
          <w:rtl/>
        </w:rPr>
        <w:t xml:space="preserve"> (מספר תורה מסיני פרשת משפטים).</w:t>
      </w:r>
      <w:bookmarkStart w:id="0" w:name="_GoBack"/>
      <w:bookmarkEnd w:id="0"/>
    </w:p>
    <w:sectPr w:rsidR="00152B80" w:rsidSect="00A270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42"/>
    <w:rsid w:val="00152B80"/>
    <w:rsid w:val="00223E0D"/>
    <w:rsid w:val="00373DA6"/>
    <w:rsid w:val="003E2942"/>
    <w:rsid w:val="009B63D0"/>
    <w:rsid w:val="00A270FF"/>
    <w:rsid w:val="00A36F02"/>
    <w:rsid w:val="00A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03B9"/>
  <w15:chartTrackingRefBased/>
  <w15:docId w15:val="{2E4D7A5A-071F-41BD-8A7F-33178A4B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שושן</dc:creator>
  <cp:keywords/>
  <dc:description/>
  <cp:lastModifiedBy>Me</cp:lastModifiedBy>
  <cp:revision>2</cp:revision>
  <dcterms:created xsi:type="dcterms:W3CDTF">2023-02-13T06:57:00Z</dcterms:created>
  <dcterms:modified xsi:type="dcterms:W3CDTF">2023-02-13T06:57:00Z</dcterms:modified>
</cp:coreProperties>
</file>