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DA9E8" w14:textId="3950488A" w:rsidR="009A7E3C" w:rsidRPr="00B55839" w:rsidRDefault="009A7E3C" w:rsidP="00B55839">
      <w:pPr>
        <w:jc w:val="both"/>
        <w:rPr>
          <w:rFonts w:ascii="FrankRuehl" w:hAnsi="FrankRuehl" w:cs="FrankRuehl"/>
          <w:b/>
          <w:bCs/>
          <w:sz w:val="28"/>
          <w:szCs w:val="28"/>
          <w:rtl/>
        </w:rPr>
      </w:pPr>
      <w:r w:rsidRPr="00B55839">
        <w:rPr>
          <w:rFonts w:ascii="FrankRuehl" w:hAnsi="FrankRuehl" w:cs="FrankRuehl"/>
          <w:b/>
          <w:bCs/>
          <w:sz w:val="28"/>
          <w:szCs w:val="28"/>
          <w:rtl/>
        </w:rPr>
        <w:t xml:space="preserve">פרשת בשלח </w:t>
      </w:r>
    </w:p>
    <w:p w14:paraId="57FBAE8C" w14:textId="2D252215" w:rsidR="009A7E3C" w:rsidRPr="00B55839" w:rsidRDefault="009A7E3C" w:rsidP="00B55839">
      <w:pPr>
        <w:jc w:val="both"/>
        <w:rPr>
          <w:rFonts w:ascii="FrankRuehl" w:hAnsi="FrankRuehl" w:cs="FrankRuehl"/>
          <w:b/>
          <w:bCs/>
          <w:sz w:val="28"/>
          <w:szCs w:val="28"/>
          <w:rtl/>
        </w:rPr>
      </w:pPr>
      <w:r w:rsidRPr="00B55839">
        <w:rPr>
          <w:rFonts w:ascii="FrankRuehl" w:hAnsi="FrankRuehl" w:cs="FrankRuehl"/>
          <w:b/>
          <w:bCs/>
          <w:sz w:val="28"/>
          <w:szCs w:val="28"/>
          <w:rtl/>
        </w:rPr>
        <w:t xml:space="preserve">חכם לב </w:t>
      </w:r>
      <w:r w:rsidR="00B55839" w:rsidRPr="00B55839">
        <w:rPr>
          <w:rFonts w:ascii="FrankRuehl" w:hAnsi="FrankRuehl" w:cs="FrankRuehl" w:hint="cs"/>
          <w:b/>
          <w:bCs/>
          <w:sz w:val="28"/>
          <w:szCs w:val="28"/>
          <w:rtl/>
        </w:rPr>
        <w:t>ייק</w:t>
      </w:r>
      <w:r w:rsidR="00B55839" w:rsidRPr="00B55839">
        <w:rPr>
          <w:rFonts w:ascii="FrankRuehl" w:hAnsi="FrankRuehl" w:cs="FrankRuehl" w:hint="eastAsia"/>
          <w:b/>
          <w:bCs/>
          <w:sz w:val="28"/>
          <w:szCs w:val="28"/>
          <w:rtl/>
        </w:rPr>
        <w:t>ח</w:t>
      </w:r>
      <w:r w:rsidRPr="00B55839">
        <w:rPr>
          <w:rFonts w:ascii="FrankRuehl" w:hAnsi="FrankRuehl" w:cs="FrankRuehl"/>
          <w:b/>
          <w:bCs/>
          <w:sz w:val="28"/>
          <w:szCs w:val="28"/>
          <w:rtl/>
        </w:rPr>
        <w:t xml:space="preserve"> מצוות</w:t>
      </w:r>
      <w:r w:rsidR="00B55839">
        <w:rPr>
          <w:rFonts w:ascii="FrankRuehl" w:hAnsi="FrankRuehl" w:cs="FrankRuehl" w:hint="cs"/>
          <w:b/>
          <w:bCs/>
          <w:sz w:val="28"/>
          <w:szCs w:val="28"/>
          <w:rtl/>
        </w:rPr>
        <w:t xml:space="preserve"> </w:t>
      </w:r>
      <w:r w:rsidR="00B55839">
        <w:rPr>
          <w:rFonts w:ascii="FrankRuehl" w:hAnsi="FrankRuehl" w:cs="FrankRuehl"/>
          <w:b/>
          <w:bCs/>
          <w:sz w:val="28"/>
          <w:szCs w:val="28"/>
          <w:rtl/>
        </w:rPr>
        <w:t>–</w:t>
      </w:r>
      <w:r w:rsidR="00B55839">
        <w:rPr>
          <w:rFonts w:ascii="FrankRuehl" w:hAnsi="FrankRuehl" w:cs="FrankRuehl" w:hint="cs"/>
          <w:b/>
          <w:bCs/>
          <w:sz w:val="28"/>
          <w:szCs w:val="28"/>
          <w:rtl/>
        </w:rPr>
        <w:t xml:space="preserve"> החכמה שבעשיית המצוות</w:t>
      </w:r>
    </w:p>
    <w:p w14:paraId="2295EEB1" w14:textId="623B5D2C" w:rsidR="009A7E3C" w:rsidRPr="00B55839" w:rsidRDefault="009A7E3C" w:rsidP="00B55839">
      <w:pPr>
        <w:jc w:val="both"/>
        <w:rPr>
          <w:rFonts w:ascii="FrankRuehl" w:hAnsi="FrankRuehl" w:cs="FrankRuehl"/>
          <w:sz w:val="28"/>
          <w:szCs w:val="28"/>
          <w:rtl/>
        </w:rPr>
      </w:pPr>
      <w:r w:rsidRPr="00B55839">
        <w:rPr>
          <w:rFonts w:ascii="FrankRuehl" w:hAnsi="FrankRuehl" w:cs="FrankRuehl"/>
          <w:sz w:val="28"/>
          <w:szCs w:val="28"/>
          <w:rtl/>
        </w:rPr>
        <w:t xml:space="preserve">נאמר </w:t>
      </w:r>
      <w:proofErr w:type="spellStart"/>
      <w:r w:rsidRPr="00B55839">
        <w:rPr>
          <w:rFonts w:ascii="FrankRuehl" w:hAnsi="FrankRuehl" w:cs="FrankRuehl"/>
          <w:sz w:val="28"/>
          <w:szCs w:val="28"/>
          <w:rtl/>
        </w:rPr>
        <w:t>בפרשתינו</w:t>
      </w:r>
      <w:proofErr w:type="spellEnd"/>
      <w:r w:rsidRPr="00B55839">
        <w:rPr>
          <w:rFonts w:ascii="FrankRuehl" w:hAnsi="FrankRuehl" w:cs="FrankRuehl"/>
          <w:sz w:val="28"/>
          <w:szCs w:val="28"/>
          <w:rtl/>
        </w:rPr>
        <w:t xml:space="preserve"> "</w:t>
      </w:r>
      <w:proofErr w:type="spellStart"/>
      <w:r w:rsidRPr="00B55839">
        <w:rPr>
          <w:rFonts w:ascii="FrankRuehl" w:hAnsi="FrankRuehl" w:cs="FrankRuehl"/>
          <w:sz w:val="28"/>
          <w:szCs w:val="28"/>
          <w:rtl/>
        </w:rPr>
        <w:t>וַיִּקַּח</w:t>
      </w:r>
      <w:proofErr w:type="spellEnd"/>
      <w:r w:rsidRPr="00B55839">
        <w:rPr>
          <w:rFonts w:ascii="FrankRuehl" w:hAnsi="FrankRuehl" w:cs="FrankRuehl"/>
          <w:sz w:val="28"/>
          <w:szCs w:val="28"/>
          <w:rtl/>
        </w:rPr>
        <w:t xml:space="preserve"> מֹשֶׁה אֶת עַצְמוֹת יוֹסֵף עִמּוֹ כִּי הַשְׁבֵּעַ הִשְׁבִּיעַ אֶת בְּנֵי יִשְׂרָאֵל </w:t>
      </w:r>
      <w:proofErr w:type="spellStart"/>
      <w:r w:rsidRPr="00B55839">
        <w:rPr>
          <w:rFonts w:ascii="FrankRuehl" w:hAnsi="FrankRuehl" w:cs="FrankRuehl"/>
          <w:sz w:val="28"/>
          <w:szCs w:val="28"/>
          <w:rtl/>
        </w:rPr>
        <w:t>לֵאמֹר</w:t>
      </w:r>
      <w:proofErr w:type="spellEnd"/>
      <w:r w:rsidRPr="00B55839">
        <w:rPr>
          <w:rFonts w:ascii="FrankRuehl" w:hAnsi="FrankRuehl" w:cs="FrankRuehl"/>
          <w:sz w:val="28"/>
          <w:szCs w:val="28"/>
          <w:rtl/>
        </w:rPr>
        <w:t xml:space="preserve"> פָּקֹד יִפְקֹד </w:t>
      </w:r>
      <w:proofErr w:type="spellStart"/>
      <w:r w:rsidRPr="00B55839">
        <w:rPr>
          <w:rFonts w:ascii="FrankRuehl" w:hAnsi="FrankRuehl" w:cs="FrankRuehl"/>
          <w:sz w:val="28"/>
          <w:szCs w:val="28"/>
          <w:rtl/>
        </w:rPr>
        <w:t>אֱלֹהִים</w:t>
      </w:r>
      <w:proofErr w:type="spellEnd"/>
      <w:r w:rsidRPr="00B55839">
        <w:rPr>
          <w:rFonts w:ascii="FrankRuehl" w:hAnsi="FrankRuehl" w:cs="FrankRuehl"/>
          <w:sz w:val="28"/>
          <w:szCs w:val="28"/>
          <w:rtl/>
        </w:rPr>
        <w:t xml:space="preserve"> אֶתְכֶם וְהַעֲלִיתֶם אֶת עַצְמֹתַי מִזֶּה אִתְּכֶם" (י"ג - י"ט)</w:t>
      </w:r>
      <w:r w:rsidR="00B93548">
        <w:rPr>
          <w:rFonts w:ascii="FrankRuehl" w:hAnsi="FrankRuehl" w:cs="FrankRuehl" w:hint="cs"/>
          <w:sz w:val="28"/>
          <w:szCs w:val="28"/>
          <w:rtl/>
        </w:rPr>
        <w:t>.</w:t>
      </w:r>
    </w:p>
    <w:p w14:paraId="3F22E6E2" w14:textId="060122F6" w:rsidR="009A7E3C" w:rsidRPr="00B55839" w:rsidRDefault="009A7E3C" w:rsidP="00B55839">
      <w:pPr>
        <w:jc w:val="both"/>
        <w:rPr>
          <w:rFonts w:ascii="FrankRuehl" w:hAnsi="FrankRuehl" w:cs="FrankRuehl"/>
          <w:sz w:val="28"/>
          <w:szCs w:val="28"/>
          <w:rtl/>
        </w:rPr>
      </w:pPr>
      <w:r w:rsidRPr="00B55839">
        <w:rPr>
          <w:rFonts w:ascii="FrankRuehl" w:hAnsi="FrankRuehl" w:cs="FrankRuehl"/>
          <w:sz w:val="28"/>
          <w:szCs w:val="28"/>
          <w:rtl/>
        </w:rPr>
        <w:t xml:space="preserve">על הפסוק הזה אומרת הגמרא במסכת סוטה (י"ג.) "בא וראה כמה חביבות מצוות על משה רבנו, שכל ישראל </w:t>
      </w:r>
      <w:r w:rsidR="00B55839">
        <w:rPr>
          <w:rFonts w:ascii="FrankRuehl" w:hAnsi="FrankRuehl" w:cs="FrankRuehl" w:hint="cs"/>
          <w:sz w:val="28"/>
          <w:szCs w:val="28"/>
          <w:rtl/>
        </w:rPr>
        <w:t>ה</w:t>
      </w:r>
      <w:r w:rsidR="00B55839" w:rsidRPr="00B55839">
        <w:rPr>
          <w:rFonts w:ascii="FrankRuehl" w:hAnsi="FrankRuehl" w:cs="FrankRuehl" w:hint="cs"/>
          <w:sz w:val="28"/>
          <w:szCs w:val="28"/>
          <w:rtl/>
        </w:rPr>
        <w:t>תעסקו</w:t>
      </w:r>
      <w:r w:rsidRPr="00B55839">
        <w:rPr>
          <w:rFonts w:ascii="FrankRuehl" w:hAnsi="FrankRuehl" w:cs="FrankRuehl"/>
          <w:sz w:val="28"/>
          <w:szCs w:val="28"/>
          <w:rtl/>
        </w:rPr>
        <w:t xml:space="preserve"> בבזה (ביזת מצרים), והוא נתעסק במצוות, שנאמר: "חכם לב </w:t>
      </w:r>
      <w:r w:rsidR="00B55839" w:rsidRPr="00B55839">
        <w:rPr>
          <w:rFonts w:ascii="FrankRuehl" w:hAnsi="FrankRuehl" w:cs="FrankRuehl" w:hint="cs"/>
          <w:sz w:val="28"/>
          <w:szCs w:val="28"/>
          <w:rtl/>
        </w:rPr>
        <w:t>ייק</w:t>
      </w:r>
      <w:r w:rsidR="00B55839" w:rsidRPr="00B55839">
        <w:rPr>
          <w:rFonts w:ascii="FrankRuehl" w:hAnsi="FrankRuehl" w:cs="FrankRuehl" w:hint="eastAsia"/>
          <w:sz w:val="28"/>
          <w:szCs w:val="28"/>
          <w:rtl/>
        </w:rPr>
        <w:t>ח</w:t>
      </w:r>
      <w:r w:rsidRPr="00B55839">
        <w:rPr>
          <w:rFonts w:ascii="FrankRuehl" w:hAnsi="FrankRuehl" w:cs="FrankRuehl"/>
          <w:sz w:val="28"/>
          <w:szCs w:val="28"/>
          <w:rtl/>
        </w:rPr>
        <w:t xml:space="preserve"> מצוות", והיינו שמשה רבנו עסק בעצמותיו של יוסף. </w:t>
      </w:r>
    </w:p>
    <w:p w14:paraId="596003F1" w14:textId="1A8FEB9C" w:rsidR="009A7E3C" w:rsidRPr="00B55839" w:rsidRDefault="009A7E3C" w:rsidP="00B55839">
      <w:pPr>
        <w:jc w:val="both"/>
        <w:rPr>
          <w:rFonts w:ascii="FrankRuehl" w:hAnsi="FrankRuehl" w:cs="FrankRuehl"/>
          <w:sz w:val="28"/>
          <w:szCs w:val="28"/>
          <w:rtl/>
        </w:rPr>
      </w:pPr>
      <w:r w:rsidRPr="00B55839">
        <w:rPr>
          <w:rFonts w:ascii="FrankRuehl" w:hAnsi="FrankRuehl" w:cs="FrankRuehl"/>
          <w:sz w:val="28"/>
          <w:szCs w:val="28"/>
          <w:rtl/>
        </w:rPr>
        <w:t xml:space="preserve">והקשה בספר "תנובות יהודה", וכי מעשה זה מלמד על חכמה? הלא הוא מלמד על חסידות, על יראת שמים ואולי על אהבת ה', אך מה הקשר בין מעשה זה </w:t>
      </w:r>
      <w:r w:rsidR="00B55839" w:rsidRPr="00B55839">
        <w:rPr>
          <w:rFonts w:ascii="FrankRuehl" w:hAnsi="FrankRuehl" w:cs="FrankRuehl" w:hint="cs"/>
          <w:sz w:val="28"/>
          <w:szCs w:val="28"/>
          <w:rtl/>
        </w:rPr>
        <w:t>לחוכמ</w:t>
      </w:r>
      <w:r w:rsidR="00B55839" w:rsidRPr="00B55839">
        <w:rPr>
          <w:rFonts w:ascii="FrankRuehl" w:hAnsi="FrankRuehl" w:cs="FrankRuehl" w:hint="eastAsia"/>
          <w:sz w:val="28"/>
          <w:szCs w:val="28"/>
          <w:rtl/>
        </w:rPr>
        <w:t>ת</w:t>
      </w:r>
      <w:r w:rsidRPr="00B55839">
        <w:rPr>
          <w:rFonts w:ascii="FrankRuehl" w:hAnsi="FrankRuehl" w:cs="FrankRuehl"/>
          <w:sz w:val="28"/>
          <w:szCs w:val="28"/>
          <w:rtl/>
        </w:rPr>
        <w:t xml:space="preserve"> לב?</w:t>
      </w:r>
    </w:p>
    <w:p w14:paraId="0F7CA3F2" w14:textId="42784DF6" w:rsidR="009A7E3C" w:rsidRPr="00B55839" w:rsidRDefault="009A7E3C" w:rsidP="00B55839">
      <w:pPr>
        <w:jc w:val="both"/>
        <w:rPr>
          <w:rFonts w:ascii="FrankRuehl" w:hAnsi="FrankRuehl" w:cs="FrankRuehl"/>
          <w:sz w:val="28"/>
          <w:szCs w:val="28"/>
          <w:rtl/>
        </w:rPr>
      </w:pPr>
      <w:r w:rsidRPr="00B55839">
        <w:rPr>
          <w:rFonts w:ascii="FrankRuehl" w:hAnsi="FrankRuehl" w:cs="FrankRuehl"/>
          <w:sz w:val="28"/>
          <w:szCs w:val="28"/>
          <w:rtl/>
        </w:rPr>
        <w:t xml:space="preserve">מסופר בגמרא במסכת תמיד (ל"ב.) על עשרה דברים ששאל </w:t>
      </w:r>
      <w:proofErr w:type="spellStart"/>
      <w:r w:rsidRPr="00B55839">
        <w:rPr>
          <w:rFonts w:ascii="FrankRuehl" w:hAnsi="FrankRuehl" w:cs="FrankRuehl"/>
          <w:sz w:val="28"/>
          <w:szCs w:val="28"/>
          <w:rtl/>
        </w:rPr>
        <w:t>אלכסנדרוס</w:t>
      </w:r>
      <w:proofErr w:type="spellEnd"/>
      <w:r w:rsidRPr="00B55839">
        <w:rPr>
          <w:rFonts w:ascii="FrankRuehl" w:hAnsi="FrankRuehl" w:cs="FrankRuehl"/>
          <w:sz w:val="28"/>
          <w:szCs w:val="28"/>
          <w:rtl/>
        </w:rPr>
        <w:t xml:space="preserve"> מוקדון את זקני הנגב. אחת השאלות הי</w:t>
      </w:r>
      <w:r w:rsidR="00B55839">
        <w:rPr>
          <w:rFonts w:ascii="FrankRuehl" w:hAnsi="FrankRuehl" w:cs="FrankRuehl" w:hint="cs"/>
          <w:sz w:val="28"/>
          <w:szCs w:val="28"/>
          <w:rtl/>
        </w:rPr>
        <w:t>י</w:t>
      </w:r>
      <w:r w:rsidRPr="00B55839">
        <w:rPr>
          <w:rFonts w:ascii="FrankRuehl" w:hAnsi="FrankRuehl" w:cs="FrankRuehl"/>
          <w:sz w:val="28"/>
          <w:szCs w:val="28"/>
          <w:rtl/>
        </w:rPr>
        <w:t xml:space="preserve">תה: "מיהו הנקרא חכם? והשיבו לו: "איזהו חכם הרואה את הנולד". ומבאר שם רש"י, שהמבין מליבו אלו קורות עתידות לבוא כדי </w:t>
      </w:r>
      <w:r w:rsidR="00B55839" w:rsidRPr="00B55839">
        <w:rPr>
          <w:rFonts w:ascii="FrankRuehl" w:hAnsi="FrankRuehl" w:cs="FrankRuehl" w:hint="cs"/>
          <w:sz w:val="28"/>
          <w:szCs w:val="28"/>
          <w:rtl/>
        </w:rPr>
        <w:t>להיזה</w:t>
      </w:r>
      <w:r w:rsidR="00B55839" w:rsidRPr="00B55839">
        <w:rPr>
          <w:rFonts w:ascii="FrankRuehl" w:hAnsi="FrankRuehl" w:cs="FrankRuehl" w:hint="eastAsia"/>
          <w:sz w:val="28"/>
          <w:szCs w:val="28"/>
          <w:rtl/>
        </w:rPr>
        <w:t>ר</w:t>
      </w:r>
      <w:r w:rsidRPr="00B55839">
        <w:rPr>
          <w:rFonts w:ascii="FrankRuehl" w:hAnsi="FrankRuehl" w:cs="FrankRuehl"/>
          <w:sz w:val="28"/>
          <w:szCs w:val="28"/>
          <w:rtl/>
        </w:rPr>
        <w:t xml:space="preserve"> מהן, הוא הנקרא חכם.</w:t>
      </w:r>
    </w:p>
    <w:p w14:paraId="32BCDF81" w14:textId="01655B1F" w:rsidR="009A7E3C" w:rsidRPr="00B55839" w:rsidRDefault="009A7E3C" w:rsidP="00B55839">
      <w:pPr>
        <w:jc w:val="both"/>
        <w:rPr>
          <w:rFonts w:ascii="FrankRuehl" w:hAnsi="FrankRuehl" w:cs="FrankRuehl"/>
          <w:sz w:val="28"/>
          <w:szCs w:val="28"/>
          <w:rtl/>
        </w:rPr>
      </w:pPr>
      <w:r w:rsidRPr="00B55839">
        <w:rPr>
          <w:rFonts w:ascii="FrankRuehl" w:hAnsi="FrankRuehl" w:cs="FrankRuehl"/>
          <w:sz w:val="28"/>
          <w:szCs w:val="28"/>
          <w:rtl/>
        </w:rPr>
        <w:t xml:space="preserve">ועל פי הדברים הללו, כתב בספר "ילקוט </w:t>
      </w:r>
      <w:proofErr w:type="spellStart"/>
      <w:r w:rsidRPr="00B55839">
        <w:rPr>
          <w:rFonts w:ascii="FrankRuehl" w:hAnsi="FrankRuehl" w:cs="FrankRuehl"/>
          <w:sz w:val="28"/>
          <w:szCs w:val="28"/>
          <w:rtl/>
        </w:rPr>
        <w:t>הגרשוני</w:t>
      </w:r>
      <w:proofErr w:type="spellEnd"/>
      <w:r w:rsidRPr="00B55839">
        <w:rPr>
          <w:rFonts w:ascii="FrankRuehl" w:hAnsi="FrankRuehl" w:cs="FrankRuehl"/>
          <w:sz w:val="28"/>
          <w:szCs w:val="28"/>
          <w:rtl/>
        </w:rPr>
        <w:t>" ליישב את קושיית ה"תנובת יהודה". מהי חכמת הלב של משה רבינו? חכמה של "חכם הרואה את הנולד", כלומר שמבין את העתיד ויודע להיערך לקראתו. והרי אמרו חז"ל במשנה מסכת אבות (ו' - ט'): "שבשעת פטירתו של אדם, אין מלוין לו לאדם לא כסף ולא זהב ולא אבנים טובות ומרגליות, אלא תורה ומעשים טובים בלבד".</w:t>
      </w:r>
    </w:p>
    <w:p w14:paraId="384D1075" w14:textId="763D77B5" w:rsidR="00152B80" w:rsidRPr="00B55839" w:rsidRDefault="009A7E3C" w:rsidP="00B55839">
      <w:pPr>
        <w:jc w:val="both"/>
        <w:rPr>
          <w:rFonts w:ascii="FrankRuehl" w:hAnsi="FrankRuehl" w:cs="FrankRuehl"/>
          <w:sz w:val="28"/>
          <w:szCs w:val="28"/>
          <w:rtl/>
        </w:rPr>
      </w:pPr>
      <w:r w:rsidRPr="00B55839">
        <w:rPr>
          <w:rFonts w:ascii="FrankRuehl" w:hAnsi="FrankRuehl" w:cs="FrankRuehl"/>
          <w:sz w:val="28"/>
          <w:szCs w:val="28"/>
          <w:rtl/>
        </w:rPr>
        <w:t xml:space="preserve">לפיכך, משה שראה את העתיד, וכפי שאמר הפייטן [תפילת מוסף לימים נוראים] "אדם יסודו מעפר וסופו לעפר", הבין כי עליו להצטייד במצוות אשר </w:t>
      </w:r>
      <w:proofErr w:type="spellStart"/>
      <w:r w:rsidRPr="00B55839">
        <w:rPr>
          <w:rFonts w:ascii="FrankRuehl" w:hAnsi="FrankRuehl" w:cs="FrankRuehl"/>
          <w:sz w:val="28"/>
          <w:szCs w:val="28"/>
          <w:rtl/>
        </w:rPr>
        <w:t>ילווהו</w:t>
      </w:r>
      <w:proofErr w:type="spellEnd"/>
      <w:r w:rsidRPr="00B55839">
        <w:rPr>
          <w:rFonts w:ascii="FrankRuehl" w:hAnsi="FrankRuehl" w:cs="FrankRuehl"/>
          <w:sz w:val="28"/>
          <w:szCs w:val="28"/>
          <w:rtl/>
        </w:rPr>
        <w:t xml:space="preserve"> בעת פטירתו לעולם האמת. ומאחר שהוא ראה את הנולד נקרא חכם, וזהו שאמרו עליו: "חכם לב </w:t>
      </w:r>
      <w:r w:rsidR="00B55839" w:rsidRPr="00B55839">
        <w:rPr>
          <w:rFonts w:ascii="FrankRuehl" w:hAnsi="FrankRuehl" w:cs="FrankRuehl" w:hint="cs"/>
          <w:sz w:val="28"/>
          <w:szCs w:val="28"/>
          <w:rtl/>
        </w:rPr>
        <w:t>ייק</w:t>
      </w:r>
      <w:r w:rsidR="00B55839" w:rsidRPr="00B55839">
        <w:rPr>
          <w:rFonts w:ascii="FrankRuehl" w:hAnsi="FrankRuehl" w:cs="FrankRuehl" w:hint="eastAsia"/>
          <w:sz w:val="28"/>
          <w:szCs w:val="28"/>
          <w:rtl/>
        </w:rPr>
        <w:t>ח</w:t>
      </w:r>
      <w:r w:rsidRPr="00B55839">
        <w:rPr>
          <w:rFonts w:ascii="FrankRuehl" w:hAnsi="FrankRuehl" w:cs="FrankRuehl"/>
          <w:sz w:val="28"/>
          <w:szCs w:val="28"/>
          <w:rtl/>
        </w:rPr>
        <w:t xml:space="preserve"> מצוות".</w:t>
      </w:r>
    </w:p>
    <w:p w14:paraId="7BC3F974" w14:textId="7D0E5DF6" w:rsidR="009A7E3C" w:rsidRPr="00B55839" w:rsidRDefault="009A7E3C" w:rsidP="0064797F">
      <w:pPr>
        <w:jc w:val="both"/>
        <w:rPr>
          <w:rFonts w:ascii="FrankRuehl" w:hAnsi="FrankRuehl" w:cs="FrankRuehl"/>
          <w:sz w:val="28"/>
          <w:szCs w:val="28"/>
        </w:rPr>
      </w:pPr>
      <w:r w:rsidRPr="00B55839">
        <w:rPr>
          <w:rFonts w:ascii="FrankRuehl" w:hAnsi="FrankRuehl" w:cs="FrankRuehl"/>
          <w:sz w:val="28"/>
          <w:szCs w:val="28"/>
          <w:rtl/>
        </w:rPr>
        <w:t>בפסיקת ההלכה כתב מרן הבית יוסף בהלכות תפילין שמנהג החכמים לנשק התפילין בשעת הנחתן ובשעת חליצתן משום חיבוב מצוה.</w:t>
      </w:r>
      <w:r w:rsidR="00B55839" w:rsidRPr="00B55839">
        <w:rPr>
          <w:rFonts w:ascii="FrankRuehl" w:hAnsi="FrankRuehl" w:cs="FrankRuehl"/>
          <w:sz w:val="28"/>
          <w:szCs w:val="28"/>
          <w:rtl/>
        </w:rPr>
        <w:t xml:space="preserve"> והביאור הוא כי החכמים יודעים להעריך את ערך מצוות התפילין עד כמה היא חשובה ושכרה בעולם הבא לכן הם מנשקים את התפילין להביע את ערך </w:t>
      </w:r>
      <w:bookmarkStart w:id="0" w:name="_GoBack"/>
      <w:bookmarkEnd w:id="0"/>
      <w:r w:rsidR="00B55839" w:rsidRPr="00B55839">
        <w:rPr>
          <w:rFonts w:ascii="FrankRuehl" w:hAnsi="FrankRuehl" w:cs="FrankRuehl"/>
          <w:sz w:val="28"/>
          <w:szCs w:val="28"/>
          <w:rtl/>
        </w:rPr>
        <w:t>מעלתה של מצוות הנחת תפילין.</w:t>
      </w:r>
    </w:p>
    <w:sectPr w:rsidR="009A7E3C" w:rsidRPr="00B55839" w:rsidSect="00A270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3C"/>
    <w:rsid w:val="00152B80"/>
    <w:rsid w:val="00373DA6"/>
    <w:rsid w:val="0064797F"/>
    <w:rsid w:val="009A7E3C"/>
    <w:rsid w:val="00A270FF"/>
    <w:rsid w:val="00B55839"/>
    <w:rsid w:val="00B93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617E"/>
  <w15:chartTrackingRefBased/>
  <w15:docId w15:val="{FA0651D8-FFA7-4FF4-BF24-B6EB6A72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1390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Me</cp:lastModifiedBy>
  <cp:revision>2</cp:revision>
  <dcterms:created xsi:type="dcterms:W3CDTF">2023-01-31T11:09:00Z</dcterms:created>
  <dcterms:modified xsi:type="dcterms:W3CDTF">2023-01-31T11:09:00Z</dcterms:modified>
</cp:coreProperties>
</file>