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FFF97" w14:textId="1115536F" w:rsidR="00152B80" w:rsidRPr="009F1891" w:rsidRDefault="00583B4D" w:rsidP="009F1891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bookmarkStart w:id="0" w:name="_GoBack"/>
      <w:r w:rsidRPr="009F1891">
        <w:rPr>
          <w:rFonts w:ascii="FrankRuehl" w:hAnsi="FrankRuehl" w:cs="FrankRuehl"/>
          <w:b/>
          <w:bCs/>
          <w:sz w:val="28"/>
          <w:szCs w:val="28"/>
          <w:rtl/>
        </w:rPr>
        <w:t xml:space="preserve">פרשת </w:t>
      </w:r>
      <w:proofErr w:type="spellStart"/>
      <w:r w:rsidRPr="009F1891">
        <w:rPr>
          <w:rFonts w:ascii="FrankRuehl" w:hAnsi="FrankRuehl" w:cs="FrankRuehl"/>
          <w:b/>
          <w:bCs/>
          <w:sz w:val="28"/>
          <w:szCs w:val="28"/>
          <w:rtl/>
        </w:rPr>
        <w:t>וארא</w:t>
      </w:r>
      <w:proofErr w:type="spellEnd"/>
    </w:p>
    <w:p w14:paraId="7A2E8CAE" w14:textId="3C312959" w:rsidR="00583B4D" w:rsidRPr="009F1891" w:rsidRDefault="00583B4D" w:rsidP="009F1891">
      <w:pPr>
        <w:jc w:val="both"/>
        <w:rPr>
          <w:rFonts w:ascii="FrankRuehl" w:hAnsi="FrankRuehl" w:cs="FrankRuehl"/>
          <w:b/>
          <w:bCs/>
          <w:sz w:val="28"/>
          <w:szCs w:val="28"/>
          <w:rtl/>
        </w:rPr>
      </w:pPr>
      <w:r w:rsidRPr="009F1891">
        <w:rPr>
          <w:rFonts w:ascii="FrankRuehl" w:hAnsi="FrankRuehl" w:cs="FrankRuehl"/>
          <w:b/>
          <w:bCs/>
          <w:sz w:val="28"/>
          <w:szCs w:val="28"/>
          <w:rtl/>
        </w:rPr>
        <w:t>מסירות נפש מוטלת על כל אחד ואחד</w:t>
      </w:r>
    </w:p>
    <w:p w14:paraId="2686D725" w14:textId="77777777" w:rsidR="00583B4D" w:rsidRPr="009F1891" w:rsidRDefault="00583B4D" w:rsidP="009F1891">
      <w:pPr>
        <w:jc w:val="both"/>
        <w:rPr>
          <w:rFonts w:ascii="FrankRuehl" w:hAnsi="FrankRuehl" w:cs="FrankRuehl"/>
          <w:sz w:val="28"/>
          <w:szCs w:val="28"/>
          <w:rtl/>
        </w:rPr>
      </w:pPr>
      <w:r w:rsidRPr="009F1891">
        <w:rPr>
          <w:rFonts w:ascii="FrankRuehl" w:hAnsi="FrankRuehl" w:cs="FrankRuehl"/>
          <w:sz w:val="28"/>
          <w:szCs w:val="28"/>
          <w:rtl/>
        </w:rPr>
        <w:t xml:space="preserve">נאמר בפרשתנו (פ"ז פסוק 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כח</w:t>
      </w:r>
      <w:proofErr w:type="spellEnd"/>
      <w:r w:rsidRPr="009F1891">
        <w:rPr>
          <w:rFonts w:ascii="FrankRuehl" w:hAnsi="FrankRuehl" w:cs="FrankRuehl"/>
          <w:sz w:val="28"/>
          <w:szCs w:val="28"/>
          <w:rtl/>
        </w:rPr>
        <w:t xml:space="preserve">): וְשָׁרַץ 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הַיְאֹר</w:t>
      </w:r>
      <w:proofErr w:type="spellEnd"/>
      <w:r w:rsidRPr="009F1891">
        <w:rPr>
          <w:rFonts w:ascii="FrankRuehl" w:hAnsi="FrankRuehl" w:cs="FrankRuehl"/>
          <w:sz w:val="28"/>
          <w:szCs w:val="28"/>
          <w:rtl/>
        </w:rPr>
        <w:t xml:space="preserve"> צְפַרְדְּעִים וְעָלוּ וּבָאוּ בְּבֵיתֶךָ וּבַחֲדַר מִשְׁכָּבְךָ וְעַל 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מִטָּתֶך</w:t>
      </w:r>
      <w:proofErr w:type="spellEnd"/>
      <w:r w:rsidRPr="009F1891">
        <w:rPr>
          <w:rFonts w:ascii="FrankRuehl" w:hAnsi="FrankRuehl" w:cs="FrankRuehl"/>
          <w:sz w:val="28"/>
          <w:szCs w:val="28"/>
          <w:rtl/>
        </w:rPr>
        <w:t>ָ וּבְבֵית עֲבָדֶיךָ וּבְעַמֶּךָ וּבְתַנּוּרֶיךָ וּבְמִשְׁאֲרוֹתֶיךָ:</w:t>
      </w:r>
    </w:p>
    <w:p w14:paraId="5085A3A0" w14:textId="17DAA5F6" w:rsidR="00583B4D" w:rsidRPr="009F1891" w:rsidRDefault="00583B4D" w:rsidP="0081527E">
      <w:pPr>
        <w:jc w:val="both"/>
        <w:rPr>
          <w:rFonts w:ascii="FrankRuehl" w:hAnsi="FrankRuehl" w:cs="FrankRuehl"/>
          <w:sz w:val="28"/>
          <w:szCs w:val="28"/>
          <w:rtl/>
        </w:rPr>
      </w:pPr>
      <w:r w:rsidRPr="009F1891">
        <w:rPr>
          <w:rFonts w:ascii="FrankRuehl" w:hAnsi="FrankRuehl" w:cs="FrankRuehl"/>
          <w:sz w:val="28"/>
          <w:szCs w:val="28"/>
          <w:rtl/>
        </w:rPr>
        <w:t xml:space="preserve">הגמרא </w:t>
      </w:r>
      <w:r w:rsidR="0081527E">
        <w:rPr>
          <w:rFonts w:ascii="FrankRuehl" w:hAnsi="FrankRuehl" w:cs="FrankRuehl" w:hint="cs"/>
          <w:sz w:val="28"/>
          <w:szCs w:val="28"/>
          <w:rtl/>
        </w:rPr>
        <w:t>ב</w:t>
      </w:r>
      <w:r w:rsidRPr="009F1891">
        <w:rPr>
          <w:rFonts w:ascii="FrankRuehl" w:hAnsi="FrankRuehl" w:cs="FrankRuehl"/>
          <w:sz w:val="28"/>
          <w:szCs w:val="28"/>
          <w:rtl/>
        </w:rPr>
        <w:t>פסחים (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נג</w:t>
      </w:r>
      <w:proofErr w:type="spellEnd"/>
      <w:r w:rsidRPr="009F1891">
        <w:rPr>
          <w:rFonts w:ascii="FrankRuehl" w:hAnsi="FrankRuehl" w:cs="FrankRuehl"/>
          <w:sz w:val="28"/>
          <w:szCs w:val="28"/>
          <w:rtl/>
        </w:rPr>
        <w:t>.) שואלת מה</w:t>
      </w:r>
      <w:r w:rsidR="00D6487D">
        <w:rPr>
          <w:rFonts w:ascii="FrankRuehl" w:hAnsi="FrankRuehl" w:cs="FrankRuehl" w:hint="cs"/>
          <w:sz w:val="28"/>
          <w:szCs w:val="28"/>
          <w:rtl/>
        </w:rPr>
        <w:t>יכן למדו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 חנניה 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מישאל</w:t>
      </w:r>
      <w:proofErr w:type="spellEnd"/>
      <w:r w:rsidRPr="009F1891">
        <w:rPr>
          <w:rFonts w:ascii="FrankRuehl" w:hAnsi="FrankRuehl" w:cs="FrankRuehl"/>
          <w:sz w:val="28"/>
          <w:szCs w:val="28"/>
          <w:rtl/>
        </w:rPr>
        <w:t xml:space="preserve"> ועזריה, שמסרו עצמ</w:t>
      </w:r>
      <w:r w:rsidR="0081527E">
        <w:rPr>
          <w:rFonts w:ascii="FrankRuehl" w:hAnsi="FrankRuehl" w:cs="FrankRuehl" w:hint="cs"/>
          <w:sz w:val="28"/>
          <w:szCs w:val="28"/>
          <w:rtl/>
        </w:rPr>
        <w:t>ם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 על קדושת השם בשעה שביקש מהם 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נבוכדנאצר</w:t>
      </w:r>
      <w:proofErr w:type="spellEnd"/>
      <w:r w:rsidRPr="009F1891">
        <w:rPr>
          <w:rFonts w:ascii="FrankRuehl" w:hAnsi="FrankRuehl" w:cs="FrankRuehl"/>
          <w:sz w:val="28"/>
          <w:szCs w:val="28"/>
          <w:rtl/>
        </w:rPr>
        <w:t xml:space="preserve"> להשתחוות לפסל </w:t>
      </w:r>
      <w:r w:rsidR="009F1891" w:rsidRPr="009F1891">
        <w:rPr>
          <w:rFonts w:ascii="FrankRuehl" w:hAnsi="FrankRuehl" w:cs="FrankRuehl"/>
          <w:sz w:val="28"/>
          <w:szCs w:val="28"/>
          <w:rtl/>
        </w:rPr>
        <w:t xml:space="preserve">שעשה 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ולא 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התשחוו</w:t>
      </w:r>
      <w:proofErr w:type="spellEnd"/>
      <w:r w:rsidR="00D6487D">
        <w:rPr>
          <w:rFonts w:ascii="FrankRuehl" w:hAnsi="FrankRuehl" w:cs="FrankRuehl" w:hint="cs"/>
          <w:sz w:val="28"/>
          <w:szCs w:val="28"/>
          <w:rtl/>
        </w:rPr>
        <w:t xml:space="preserve"> ולכן השליכן </w:t>
      </w:r>
      <w:r w:rsidR="00D6487D" w:rsidRPr="009F1891">
        <w:rPr>
          <w:rFonts w:ascii="FrankRuehl" w:hAnsi="FrankRuehl" w:cs="FrankRuehl"/>
          <w:sz w:val="28"/>
          <w:szCs w:val="28"/>
          <w:rtl/>
        </w:rPr>
        <w:t>לכבשן האש</w:t>
      </w:r>
      <w:r w:rsidRPr="009F1891">
        <w:rPr>
          <w:rFonts w:ascii="FrankRuehl" w:hAnsi="FrankRuehl" w:cs="FrankRuehl"/>
          <w:sz w:val="28"/>
          <w:szCs w:val="28"/>
          <w:rtl/>
        </w:rPr>
        <w:t>?</w:t>
      </w:r>
    </w:p>
    <w:p w14:paraId="702D57B1" w14:textId="1F096D04" w:rsidR="00D6487D" w:rsidRDefault="0081527E" w:rsidP="0081527E">
      <w:pPr>
        <w:jc w:val="both"/>
        <w:rPr>
          <w:rFonts w:ascii="FrankRuehl" w:hAnsi="FrankRuehl" w:cs="FrankRuehl"/>
          <w:sz w:val="28"/>
          <w:szCs w:val="28"/>
        </w:rPr>
      </w:pPr>
      <w:r>
        <w:rPr>
          <w:rFonts w:ascii="FrankRuehl" w:hAnsi="FrankRuehl" w:cs="FrankRuehl" w:hint="cs"/>
          <w:sz w:val="28"/>
          <w:szCs w:val="28"/>
          <w:rtl/>
        </w:rPr>
        <w:t>ו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הגמרא מתרצת: </w:t>
      </w:r>
      <w:r w:rsidR="00583B4D" w:rsidRPr="009F1891">
        <w:rPr>
          <w:rFonts w:ascii="FrankRuehl" w:hAnsi="FrankRuehl" w:cs="FrankRuehl"/>
          <w:sz w:val="28"/>
          <w:szCs w:val="28"/>
          <w:rtl/>
        </w:rPr>
        <w:t>נשאו קל וחומר בעצמם</w:t>
      </w:r>
      <w:r>
        <w:rPr>
          <w:rFonts w:ascii="FrankRuehl" w:hAnsi="FrankRuehl" w:cs="FrankRuehl" w:hint="cs"/>
          <w:sz w:val="28"/>
          <w:szCs w:val="28"/>
          <w:rtl/>
        </w:rPr>
        <w:t xml:space="preserve"> </w:t>
      </w:r>
      <w:r w:rsidR="00583B4D" w:rsidRPr="009F1891">
        <w:rPr>
          <w:rFonts w:ascii="FrankRuehl" w:hAnsi="FrankRuehl" w:cs="FrankRuehl"/>
          <w:sz w:val="28"/>
          <w:szCs w:val="28"/>
          <w:rtl/>
        </w:rPr>
        <w:t xml:space="preserve">מהצפרדעים במצרים. ומה הצפרדעים שאין מצווים על קדושת השם, התורה מעידה עליהם שבאו ונכנסו בתנורים 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כשהם חמים </w:t>
      </w:r>
      <w:r w:rsidR="00583B4D" w:rsidRPr="009F1891">
        <w:rPr>
          <w:rFonts w:ascii="FrankRuehl" w:hAnsi="FrankRuehl" w:cs="FrankRuehl"/>
          <w:sz w:val="28"/>
          <w:szCs w:val="28"/>
          <w:rtl/>
        </w:rPr>
        <w:t>כמו שכתוב "ובתנוריך ובמשארותיך</w:t>
      </w:r>
      <w:r w:rsidR="00D6487D">
        <w:rPr>
          <w:rFonts w:ascii="FrankRuehl" w:hAnsi="FrankRuehl" w:cs="FrankRuehl" w:hint="cs"/>
          <w:sz w:val="28"/>
          <w:szCs w:val="28"/>
          <w:rtl/>
        </w:rPr>
        <w:t>"</w:t>
      </w:r>
      <w:r w:rsidR="00583B4D" w:rsidRPr="009F1891">
        <w:rPr>
          <w:rFonts w:ascii="FrankRuehl" w:hAnsi="FrankRuehl" w:cs="FrankRuehl"/>
          <w:sz w:val="28"/>
          <w:szCs w:val="28"/>
          <w:rtl/>
        </w:rPr>
        <w:t xml:space="preserve"> 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שיש פת בתנור </w:t>
      </w:r>
      <w:r w:rsidR="00583B4D" w:rsidRPr="009F1891">
        <w:rPr>
          <w:rFonts w:ascii="FrankRuehl" w:hAnsi="FrankRuehl" w:cs="FrankRuehl"/>
          <w:sz w:val="28"/>
          <w:szCs w:val="28"/>
          <w:rtl/>
        </w:rPr>
        <w:t xml:space="preserve">שהתנור חם, </w:t>
      </w:r>
      <w:r w:rsidR="00D6487D">
        <w:rPr>
          <w:rFonts w:ascii="FrankRuehl" w:hAnsi="FrankRuehl" w:cs="FrankRuehl" w:hint="cs"/>
          <w:sz w:val="28"/>
          <w:szCs w:val="28"/>
          <w:rtl/>
        </w:rPr>
        <w:t>ו</w:t>
      </w:r>
      <w:r w:rsidR="00583B4D" w:rsidRPr="009F1891">
        <w:rPr>
          <w:rFonts w:ascii="FrankRuehl" w:hAnsi="FrankRuehl" w:cs="FrankRuehl"/>
          <w:sz w:val="28"/>
          <w:szCs w:val="28"/>
          <w:rtl/>
        </w:rPr>
        <w:t>הצפרדעים נכנסו בתנורים בשעה שהאש דולקת, אנ</w:t>
      </w:r>
      <w:r w:rsidR="00D6487D">
        <w:rPr>
          <w:rFonts w:ascii="FrankRuehl" w:hAnsi="FrankRuehl" w:cs="FrankRuehl" w:hint="cs"/>
          <w:sz w:val="28"/>
          <w:szCs w:val="28"/>
          <w:rtl/>
        </w:rPr>
        <w:t>חנ</w:t>
      </w:r>
      <w:r w:rsidR="00583B4D" w:rsidRPr="009F1891">
        <w:rPr>
          <w:rFonts w:ascii="FrankRuehl" w:hAnsi="FrankRuehl" w:cs="FrankRuehl"/>
          <w:sz w:val="28"/>
          <w:szCs w:val="28"/>
          <w:rtl/>
        </w:rPr>
        <w:t xml:space="preserve">ו (חנניה </w:t>
      </w:r>
      <w:proofErr w:type="spellStart"/>
      <w:r w:rsidR="00583B4D" w:rsidRPr="009F1891">
        <w:rPr>
          <w:rFonts w:ascii="FrankRuehl" w:hAnsi="FrankRuehl" w:cs="FrankRuehl"/>
          <w:sz w:val="28"/>
          <w:szCs w:val="28"/>
          <w:rtl/>
        </w:rPr>
        <w:t>מישאל</w:t>
      </w:r>
      <w:proofErr w:type="spellEnd"/>
      <w:r w:rsidR="00583B4D" w:rsidRPr="009F1891">
        <w:rPr>
          <w:rFonts w:ascii="FrankRuehl" w:hAnsi="FrankRuehl" w:cs="FrankRuehl"/>
          <w:sz w:val="28"/>
          <w:szCs w:val="28"/>
          <w:rtl/>
        </w:rPr>
        <w:t xml:space="preserve"> ועזריה), שמצווים על קידוש השם, על אחת כמה וכמה. </w:t>
      </w:r>
    </w:p>
    <w:p w14:paraId="33DD465B" w14:textId="47A7E6D4" w:rsidR="00583B4D" w:rsidRPr="009F1891" w:rsidRDefault="00583B4D" w:rsidP="00D6487D">
      <w:pPr>
        <w:jc w:val="both"/>
        <w:rPr>
          <w:rFonts w:ascii="FrankRuehl" w:hAnsi="FrankRuehl" w:cs="FrankRuehl"/>
          <w:sz w:val="28"/>
          <w:szCs w:val="28"/>
          <w:rtl/>
        </w:rPr>
      </w:pPr>
      <w:r w:rsidRPr="009F1891">
        <w:rPr>
          <w:rFonts w:ascii="FrankRuehl" w:hAnsi="FrankRuehl" w:cs="FrankRuehl"/>
          <w:sz w:val="28"/>
          <w:szCs w:val="28"/>
          <w:rtl/>
        </w:rPr>
        <w:t xml:space="preserve">ומקשים, הרי קל וחומר מופרך הוא, שהרי משה קיבל ציווי מהקב"ה </w:t>
      </w:r>
      <w:r w:rsidR="00D6487D">
        <w:rPr>
          <w:rFonts w:ascii="FrankRuehl" w:hAnsi="FrankRuehl" w:cs="FrankRuehl" w:hint="cs"/>
          <w:sz w:val="28"/>
          <w:szCs w:val="28"/>
          <w:rtl/>
        </w:rPr>
        <w:t>שהצפרדעים יעלו ויבואו בתוך התנורים</w:t>
      </w:r>
      <w:r w:rsidRPr="009F1891">
        <w:rPr>
          <w:rFonts w:ascii="FrankRuehl" w:hAnsi="FrankRuehl" w:cs="FrankRuehl"/>
          <w:sz w:val="28"/>
          <w:szCs w:val="28"/>
          <w:rtl/>
        </w:rPr>
        <w:t>, וא"כ היה ל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צפרדעים </w:t>
      </w:r>
      <w:r w:rsidRPr="009F1891">
        <w:rPr>
          <w:rFonts w:ascii="FrankRuehl" w:hAnsi="FrankRuehl" w:cs="FrankRuehl"/>
          <w:sz w:val="28"/>
          <w:szCs w:val="28"/>
          <w:rtl/>
        </w:rPr>
        <w:t>ציווי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 מה'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 לבוא ולעלות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 לתוך התנורים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, וא"כ איך 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חנניה </w:t>
      </w:r>
      <w:proofErr w:type="spellStart"/>
      <w:r w:rsidR="00D6487D">
        <w:rPr>
          <w:rFonts w:ascii="FrankRuehl" w:hAnsi="FrankRuehl" w:cs="FrankRuehl" w:hint="cs"/>
          <w:sz w:val="28"/>
          <w:szCs w:val="28"/>
          <w:rtl/>
        </w:rPr>
        <w:t>מישאל</w:t>
      </w:r>
      <w:proofErr w:type="spellEnd"/>
      <w:r w:rsidR="00D6487D">
        <w:rPr>
          <w:rFonts w:ascii="FrankRuehl" w:hAnsi="FrankRuehl" w:cs="FrankRuehl" w:hint="cs"/>
          <w:sz w:val="28"/>
          <w:szCs w:val="28"/>
          <w:rtl/>
        </w:rPr>
        <w:t xml:space="preserve"> ועזריה </w:t>
      </w:r>
      <w:r w:rsidRPr="009F1891">
        <w:rPr>
          <w:rFonts w:ascii="FrankRuehl" w:hAnsi="FrankRuehl" w:cs="FrankRuehl"/>
          <w:sz w:val="28"/>
          <w:szCs w:val="28"/>
          <w:rtl/>
        </w:rPr>
        <w:t>אמרו ש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הצפרדעים 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אינן מצווים על קדושת השם? </w:t>
      </w:r>
    </w:p>
    <w:p w14:paraId="50EB9B54" w14:textId="01A6A618" w:rsidR="00D30233" w:rsidRDefault="00583B4D" w:rsidP="00D30233">
      <w:pPr>
        <w:jc w:val="both"/>
        <w:rPr>
          <w:rFonts w:ascii="FrankRuehl" w:hAnsi="FrankRuehl" w:cs="FrankRuehl"/>
          <w:sz w:val="28"/>
          <w:szCs w:val="28"/>
          <w:rtl/>
        </w:rPr>
      </w:pPr>
      <w:r w:rsidRPr="009F1891">
        <w:rPr>
          <w:rFonts w:ascii="FrankRuehl" w:hAnsi="FrankRuehl" w:cs="FrankRuehl"/>
          <w:sz w:val="28"/>
          <w:szCs w:val="28"/>
          <w:rtl/>
        </w:rPr>
        <w:t>אלא ההסבר הוא, א</w:t>
      </w:r>
      <w:r w:rsidR="00FA7B28">
        <w:rPr>
          <w:rFonts w:ascii="FrankRuehl" w:hAnsi="FrankRuehl" w:cs="FrankRuehl" w:hint="cs"/>
          <w:sz w:val="28"/>
          <w:szCs w:val="28"/>
          <w:rtl/>
        </w:rPr>
        <w:t>ו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מר </w:t>
      </w:r>
      <w:r w:rsidR="00FA7B28">
        <w:rPr>
          <w:rFonts w:ascii="FrankRuehl" w:hAnsi="FrankRuehl" w:cs="FrankRuehl" w:hint="cs"/>
          <w:sz w:val="28"/>
          <w:szCs w:val="28"/>
          <w:rtl/>
        </w:rPr>
        <w:t>הגאון השאגת אריה</w:t>
      </w:r>
      <w:r w:rsidRPr="009F1891">
        <w:rPr>
          <w:rFonts w:ascii="FrankRuehl" w:hAnsi="FrankRuehl" w:cs="FrankRuehl"/>
          <w:sz w:val="28"/>
          <w:szCs w:val="28"/>
          <w:rtl/>
        </w:rPr>
        <w:t>, אמנם הצפרדעים קיבלו ציווי לעלות ולבוא בבית ובמיט</w:t>
      </w:r>
      <w:r w:rsidR="00D6487D">
        <w:rPr>
          <w:rFonts w:ascii="FrankRuehl" w:hAnsi="FrankRuehl" w:cs="FrankRuehl" w:hint="cs"/>
          <w:sz w:val="28"/>
          <w:szCs w:val="28"/>
          <w:rtl/>
        </w:rPr>
        <w:t>ות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 </w:t>
      </w:r>
      <w:r w:rsidR="00D6487D">
        <w:rPr>
          <w:rFonts w:ascii="FrankRuehl" w:hAnsi="FrankRuehl" w:cs="FrankRuehl" w:hint="cs"/>
          <w:sz w:val="28"/>
          <w:szCs w:val="28"/>
          <w:rtl/>
        </w:rPr>
        <w:t>ו</w:t>
      </w:r>
      <w:r w:rsidRPr="009F1891">
        <w:rPr>
          <w:rFonts w:ascii="FrankRuehl" w:hAnsi="FrankRuehl" w:cs="FrankRuehl"/>
          <w:sz w:val="28"/>
          <w:szCs w:val="28"/>
          <w:rtl/>
        </w:rPr>
        <w:t>בתנור</w:t>
      </w:r>
      <w:r w:rsidR="00D6487D">
        <w:rPr>
          <w:rFonts w:ascii="FrankRuehl" w:hAnsi="FrankRuehl" w:cs="FrankRuehl" w:hint="cs"/>
          <w:sz w:val="28"/>
          <w:szCs w:val="28"/>
          <w:rtl/>
        </w:rPr>
        <w:t>ים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 </w:t>
      </w:r>
      <w:r w:rsidR="00D6487D">
        <w:rPr>
          <w:rFonts w:ascii="FrankRuehl" w:hAnsi="FrankRuehl" w:cs="FrankRuehl" w:hint="cs"/>
          <w:sz w:val="28"/>
          <w:szCs w:val="28"/>
          <w:rtl/>
        </w:rPr>
        <w:t>של המצריים</w:t>
      </w:r>
      <w:r w:rsidRPr="009F1891">
        <w:rPr>
          <w:rFonts w:ascii="FrankRuehl" w:hAnsi="FrankRuehl" w:cs="FrankRuehl"/>
          <w:sz w:val="28"/>
          <w:szCs w:val="28"/>
          <w:rtl/>
        </w:rPr>
        <w:t>, אולם כל צפרדע ה</w:t>
      </w:r>
      <w:r w:rsidR="009F1891">
        <w:rPr>
          <w:rFonts w:ascii="FrankRuehl" w:hAnsi="FrankRuehl" w:cs="FrankRuehl" w:hint="cs"/>
          <w:sz w:val="28"/>
          <w:szCs w:val="28"/>
          <w:rtl/>
        </w:rPr>
        <w:t>י</w:t>
      </w:r>
      <w:r w:rsidRPr="009F1891">
        <w:rPr>
          <w:rFonts w:ascii="FrankRuehl" w:hAnsi="FrankRuehl" w:cs="FrankRuehl"/>
          <w:sz w:val="28"/>
          <w:szCs w:val="28"/>
          <w:rtl/>
        </w:rPr>
        <w:t>יתה יכולה לומר לחברתה, לכי את לתוך התנור הבוער, ואני אבוא אל הבית</w:t>
      </w:r>
      <w:r w:rsidR="00D30233">
        <w:rPr>
          <w:rFonts w:ascii="FrankRuehl" w:hAnsi="FrankRuehl" w:cs="FrankRuehl" w:hint="cs"/>
          <w:sz w:val="28"/>
          <w:szCs w:val="28"/>
          <w:rtl/>
        </w:rPr>
        <w:t xml:space="preserve">. אך לא כך, </w:t>
      </w:r>
      <w:r w:rsidRPr="009F1891">
        <w:rPr>
          <w:rFonts w:ascii="FrankRuehl" w:hAnsi="FrankRuehl" w:cs="FrankRuehl"/>
          <w:sz w:val="28"/>
          <w:szCs w:val="28"/>
          <w:rtl/>
        </w:rPr>
        <w:t>כל אח</w:t>
      </w:r>
      <w:r w:rsidR="00D30233">
        <w:rPr>
          <w:rFonts w:ascii="FrankRuehl" w:hAnsi="FrankRuehl" w:cs="FrankRuehl" w:hint="cs"/>
          <w:sz w:val="28"/>
          <w:szCs w:val="28"/>
          <w:rtl/>
        </w:rPr>
        <w:t>ת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 רצ</w:t>
      </w:r>
      <w:r w:rsidR="00D30233">
        <w:rPr>
          <w:rFonts w:ascii="FrankRuehl" w:hAnsi="FrankRuehl" w:cs="FrankRuehl" w:hint="cs"/>
          <w:sz w:val="28"/>
          <w:szCs w:val="28"/>
          <w:rtl/>
        </w:rPr>
        <w:t>ת</w:t>
      </w:r>
      <w:r w:rsidRPr="009F1891">
        <w:rPr>
          <w:rFonts w:ascii="FrankRuehl" w:hAnsi="FrankRuehl" w:cs="FrankRuehl"/>
          <w:sz w:val="28"/>
          <w:szCs w:val="28"/>
          <w:rtl/>
        </w:rPr>
        <w:t>ה לקדש שם שמים וקפץ דווקא לתוך התנור כדי למסור עצמ</w:t>
      </w:r>
      <w:r w:rsidR="00D30233">
        <w:rPr>
          <w:rFonts w:ascii="FrankRuehl" w:hAnsi="FrankRuehl" w:cs="FrankRuehl" w:hint="cs"/>
          <w:sz w:val="28"/>
          <w:szCs w:val="28"/>
          <w:rtl/>
        </w:rPr>
        <w:t>ה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 על קדושת השם, ו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מהם למדו </w:t>
      </w:r>
      <w:r w:rsidRPr="009F1891">
        <w:rPr>
          <w:rFonts w:ascii="FrankRuehl" w:hAnsi="FrankRuehl" w:cs="FrankRuehl"/>
          <w:sz w:val="28"/>
          <w:szCs w:val="28"/>
          <w:rtl/>
        </w:rPr>
        <w:t xml:space="preserve">חנניה </w:t>
      </w:r>
      <w:proofErr w:type="spellStart"/>
      <w:r w:rsidRPr="009F1891">
        <w:rPr>
          <w:rFonts w:ascii="FrankRuehl" w:hAnsi="FrankRuehl" w:cs="FrankRuehl"/>
          <w:sz w:val="28"/>
          <w:szCs w:val="28"/>
          <w:rtl/>
        </w:rPr>
        <w:t>מישאל</w:t>
      </w:r>
      <w:proofErr w:type="spellEnd"/>
      <w:r w:rsidRPr="009F1891">
        <w:rPr>
          <w:rFonts w:ascii="FrankRuehl" w:hAnsi="FrankRuehl" w:cs="FrankRuehl"/>
          <w:sz w:val="28"/>
          <w:szCs w:val="28"/>
          <w:rtl/>
        </w:rPr>
        <w:t xml:space="preserve"> ועזריה למרות שחז"ל אומרים ש</w:t>
      </w:r>
      <w:r w:rsidR="009F1891" w:rsidRPr="009F1891">
        <w:rPr>
          <w:rFonts w:ascii="FrankRuehl" w:hAnsi="FrankRuehl" w:cs="FrankRuehl"/>
          <w:sz w:val="28"/>
          <w:szCs w:val="28"/>
          <w:rtl/>
        </w:rPr>
        <w:t>היו יכולים לברוח ולא להשתחוות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, מ"מ מסרו נפש ובאו ועמדו מול הפסל ולא השתחוו כדי </w:t>
      </w:r>
      <w:r w:rsidR="009F1891" w:rsidRPr="009F1891">
        <w:rPr>
          <w:rFonts w:ascii="FrankRuehl" w:hAnsi="FrankRuehl" w:cs="FrankRuehl"/>
          <w:sz w:val="28"/>
          <w:szCs w:val="28"/>
          <w:rtl/>
        </w:rPr>
        <w:t>שכל העולם יגידו שכולם השתחוו לפסל</w:t>
      </w:r>
      <w:r w:rsidR="00D6487D">
        <w:rPr>
          <w:rFonts w:ascii="FrankRuehl" w:hAnsi="FrankRuehl" w:cs="FrankRuehl" w:hint="cs"/>
          <w:sz w:val="28"/>
          <w:szCs w:val="28"/>
          <w:rtl/>
        </w:rPr>
        <w:t xml:space="preserve"> חוץ מהיהודים ובכך נהיה קדוש השם. </w:t>
      </w:r>
      <w:r w:rsidR="00FA7B28">
        <w:rPr>
          <w:rFonts w:ascii="FrankRuehl" w:hAnsi="FrankRuehl" w:cs="FrankRuehl" w:hint="cs"/>
          <w:sz w:val="28"/>
          <w:szCs w:val="28"/>
          <w:rtl/>
        </w:rPr>
        <w:t>(אהל יהושע)</w:t>
      </w:r>
    </w:p>
    <w:p w14:paraId="05FC4DFB" w14:textId="3B484D55" w:rsidR="00D30233" w:rsidRDefault="00D30233" w:rsidP="00D30233">
      <w:pPr>
        <w:rPr>
          <w:rFonts w:ascii="FrankRuehl" w:hAnsi="FrankRuehl" w:cs="FrankRuehl"/>
          <w:sz w:val="28"/>
          <w:szCs w:val="28"/>
          <w:rtl/>
        </w:rPr>
      </w:pPr>
    </w:p>
    <w:p w14:paraId="5FCB83BA" w14:textId="1D896C36" w:rsidR="00D30233" w:rsidRDefault="00D30233" w:rsidP="00D30233">
      <w:pPr>
        <w:rPr>
          <w:rFonts w:ascii="FrankRuehl" w:hAnsi="FrankRuehl" w:cs="FrankRuehl"/>
          <w:sz w:val="28"/>
          <w:szCs w:val="28"/>
          <w:rtl/>
        </w:rPr>
      </w:pPr>
    </w:p>
    <w:p w14:paraId="3C090DD6" w14:textId="4264A9C0" w:rsidR="009F1891" w:rsidRPr="00D30233" w:rsidRDefault="00D30233" w:rsidP="00D30233">
      <w:pPr>
        <w:tabs>
          <w:tab w:val="left" w:pos="4991"/>
        </w:tabs>
        <w:rPr>
          <w:rFonts w:ascii="FrankRuehl" w:hAnsi="FrankRuehl" w:cs="FrankRuehl"/>
          <w:sz w:val="28"/>
          <w:szCs w:val="28"/>
          <w:rtl/>
        </w:rPr>
      </w:pPr>
      <w:r>
        <w:rPr>
          <w:rFonts w:ascii="FrankRuehl" w:hAnsi="FrankRuehl" w:cs="FrankRuehl"/>
          <w:sz w:val="28"/>
          <w:szCs w:val="28"/>
          <w:rtl/>
        </w:rPr>
        <w:tab/>
      </w:r>
      <w:bookmarkEnd w:id="0"/>
    </w:p>
    <w:sectPr w:rsidR="009F1891" w:rsidRPr="00D30233" w:rsidSect="00A270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B4D"/>
    <w:rsid w:val="00152B80"/>
    <w:rsid w:val="00373DA6"/>
    <w:rsid w:val="00583B4D"/>
    <w:rsid w:val="0081527E"/>
    <w:rsid w:val="009F1891"/>
    <w:rsid w:val="00A270FF"/>
    <w:rsid w:val="00D30233"/>
    <w:rsid w:val="00D6487D"/>
    <w:rsid w:val="00FA7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A14E7"/>
  <w15:chartTrackingRefBased/>
  <w15:docId w15:val="{3898125F-33FE-4FF3-8CD7-0734B9646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חגי שושן</dc:creator>
  <cp:keywords/>
  <dc:description/>
  <cp:lastModifiedBy>Me</cp:lastModifiedBy>
  <cp:revision>2</cp:revision>
  <dcterms:created xsi:type="dcterms:W3CDTF">2023-01-19T07:52:00Z</dcterms:created>
  <dcterms:modified xsi:type="dcterms:W3CDTF">2023-01-19T07:52:00Z</dcterms:modified>
</cp:coreProperties>
</file>